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jc w:val="center"/>
        <w:rPr>
          <w:rFonts w:hint="eastAsia" w:ascii="宋体" w:hAnsi="宋体" w:cs="宋体"/>
          <w:b/>
          <w:bCs/>
          <w:sz w:val="52"/>
          <w:szCs w:val="52"/>
        </w:rPr>
      </w:pPr>
    </w:p>
    <w:p>
      <w:pPr>
        <w:widowControl/>
        <w:ind w:left="0" w:leftChars="0" w:firstLine="0" w:firstLineChars="0"/>
        <w:jc w:val="center"/>
        <w:rPr>
          <w:rFonts w:hint="eastAsia" w:ascii="宋体" w:hAnsi="宋体" w:cs="宋体"/>
          <w:b/>
          <w:bCs/>
          <w:sz w:val="52"/>
          <w:szCs w:val="52"/>
        </w:rPr>
      </w:pPr>
    </w:p>
    <w:p>
      <w:pPr>
        <w:pStyle w:val="5"/>
        <w:bidi w:val="0"/>
        <w:rPr>
          <w:rFonts w:hint="eastAsia" w:ascii="宋体" w:hAnsi="宋体" w:cs="宋体"/>
          <w:b/>
          <w:bCs/>
          <w:sz w:val="52"/>
          <w:szCs w:val="52"/>
        </w:rPr>
      </w:pPr>
      <w:r>
        <w:rPr>
          <w:rFonts w:hint="eastAsia" w:ascii="宋体" w:hAnsi="宋体" w:cs="宋体"/>
          <w:b/>
          <w:bCs/>
          <w:sz w:val="52"/>
          <w:szCs w:val="52"/>
        </w:rPr>
        <w:t>兰州佛慈制药股份有限公司</w:t>
      </w:r>
      <w:r>
        <w:rPr>
          <w:rFonts w:hint="eastAsia" w:ascii="宋体" w:hAnsi="宋体" w:cs="宋体"/>
          <w:b/>
          <w:bCs/>
          <w:sz w:val="52"/>
          <w:szCs w:val="52"/>
          <w:lang w:val="en-US" w:eastAsia="zh-CN"/>
        </w:rPr>
        <w:t>环境检测服务</w:t>
      </w:r>
      <w:r>
        <w:rPr>
          <w:rFonts w:hint="eastAsia" w:ascii="宋体" w:hAnsi="宋体" w:cs="宋体"/>
          <w:b/>
          <w:bCs/>
          <w:sz w:val="52"/>
          <w:szCs w:val="52"/>
        </w:rPr>
        <w:t>项目</w:t>
      </w:r>
    </w:p>
    <w:p>
      <w:pPr>
        <w:widowControl/>
        <w:ind w:left="0" w:leftChars="0" w:firstLine="0" w:firstLineChars="0"/>
        <w:jc w:val="center"/>
        <w:rPr>
          <w:rFonts w:hint="eastAsia" w:ascii="宋体" w:hAnsi="宋体" w:cs="宋体"/>
          <w:b/>
          <w:bCs/>
          <w:sz w:val="52"/>
          <w:szCs w:val="52"/>
        </w:rPr>
      </w:pPr>
    </w:p>
    <w:p>
      <w:pPr>
        <w:ind w:left="0" w:leftChars="0" w:firstLine="0" w:firstLineChars="0"/>
        <w:jc w:val="both"/>
        <w:rPr>
          <w:rFonts w:ascii="黑体" w:hAnsi="黑体" w:eastAsia="黑体"/>
          <w:b/>
          <w:bCs/>
          <w:sz w:val="30"/>
          <w:szCs w:val="30"/>
        </w:rPr>
      </w:pPr>
    </w:p>
    <w:p>
      <w:pPr>
        <w:jc w:val="center"/>
        <w:rPr>
          <w:rFonts w:ascii="黑体" w:hAnsi="黑体" w:eastAsia="黑体"/>
          <w:sz w:val="30"/>
          <w:szCs w:val="30"/>
        </w:rPr>
      </w:pPr>
    </w:p>
    <w:p>
      <w:pPr>
        <w:jc w:val="center"/>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黑体" w:hAnsi="黑体" w:eastAsia="黑体" w:cs="黑体"/>
          <w:spacing w:val="-100"/>
          <w:sz w:val="96"/>
          <w:szCs w:val="96"/>
        </w:rPr>
      </w:pPr>
      <w:r>
        <w:rPr>
          <w:rFonts w:hint="eastAsia" w:ascii="黑体" w:hAnsi="黑体" w:eastAsia="黑体" w:cs="黑体"/>
          <w:spacing w:val="-100"/>
          <w:sz w:val="96"/>
          <w:szCs w:val="96"/>
        </w:rPr>
        <w:t>招 标 文 件</w:t>
      </w:r>
    </w:p>
    <w:p>
      <w:pPr>
        <w:jc w:val="center"/>
        <w:rPr>
          <w:rFonts w:ascii="黑体" w:hAnsi="黑体" w:eastAsia="黑体" w:cs="黑体"/>
          <w:spacing w:val="-100"/>
          <w:sz w:val="96"/>
          <w:szCs w:val="96"/>
        </w:rPr>
      </w:pPr>
    </w:p>
    <w:p>
      <w:pPr>
        <w:jc w:val="center"/>
        <w:rPr>
          <w:rFonts w:ascii="黑体" w:hAnsi="黑体" w:eastAsia="黑体" w:cs="黑体"/>
          <w:spacing w:val="-100"/>
          <w:sz w:val="96"/>
          <w:szCs w:val="96"/>
        </w:rPr>
      </w:pPr>
    </w:p>
    <w:p>
      <w:pPr>
        <w:pStyle w:val="2"/>
        <w:rPr>
          <w:rFonts w:ascii="黑体" w:hAnsi="黑体" w:eastAsia="黑体" w:cs="黑体"/>
          <w:spacing w:val="-100"/>
          <w:sz w:val="96"/>
          <w:szCs w:val="96"/>
        </w:rPr>
      </w:pPr>
    </w:p>
    <w:p>
      <w:pPr>
        <w:pStyle w:val="3"/>
        <w:rPr>
          <w:rFonts w:ascii="黑体" w:hAnsi="黑体" w:eastAsia="黑体" w:cs="黑体"/>
          <w:spacing w:val="-100"/>
          <w:sz w:val="96"/>
          <w:szCs w:val="96"/>
        </w:rPr>
      </w:pPr>
    </w:p>
    <w:p/>
    <w:p>
      <w:pPr>
        <w:ind w:firstLine="1400" w:firstLineChars="500"/>
        <w:rPr>
          <w:rFonts w:hint="default" w:eastAsia="黑体"/>
          <w:b/>
          <w:sz w:val="36"/>
          <w:szCs w:val="36"/>
          <w:lang w:val="en-US" w:eastAsia="zh-CN"/>
        </w:rPr>
      </w:pPr>
      <w:r>
        <w:rPr>
          <w:rFonts w:hint="eastAsia" w:ascii="黑体" w:hAnsi="黑体" w:eastAsia="黑体"/>
          <w:sz w:val="28"/>
          <w:szCs w:val="22"/>
        </w:rPr>
        <w:t xml:space="preserve"> 招 标 编 号：LZFC</w:t>
      </w:r>
      <w:r>
        <w:rPr>
          <w:rFonts w:hint="eastAsia" w:ascii="黑体" w:hAnsi="黑体" w:eastAsia="黑体"/>
          <w:sz w:val="28"/>
          <w:szCs w:val="22"/>
          <w:lang w:val="en-US" w:eastAsia="zh-CN"/>
        </w:rPr>
        <w:t>HB</w:t>
      </w:r>
      <w:r>
        <w:rPr>
          <w:rFonts w:hint="eastAsia" w:ascii="黑体" w:hAnsi="黑体" w:eastAsia="黑体"/>
          <w:sz w:val="28"/>
          <w:szCs w:val="22"/>
        </w:rPr>
        <w:t>20250</w:t>
      </w:r>
      <w:r>
        <w:rPr>
          <w:rFonts w:hint="eastAsia" w:ascii="黑体" w:hAnsi="黑体" w:eastAsia="黑体"/>
          <w:sz w:val="28"/>
          <w:szCs w:val="22"/>
          <w:lang w:val="en-US" w:eastAsia="zh-CN"/>
        </w:rPr>
        <w:t>701</w:t>
      </w:r>
    </w:p>
    <w:p>
      <w:pPr>
        <w:ind w:firstLine="1120" w:firstLineChars="400"/>
        <w:rPr>
          <w:b/>
          <w:sz w:val="36"/>
          <w:szCs w:val="36"/>
        </w:rPr>
      </w:pPr>
      <w:r>
        <w:rPr>
          <w:rFonts w:hint="eastAsia" w:ascii="黑体" w:hAnsi="黑体" w:eastAsia="黑体"/>
          <w:sz w:val="28"/>
          <w:szCs w:val="28"/>
        </w:rPr>
        <w:t xml:space="preserve">   采</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购  人</w:t>
      </w:r>
      <w:r>
        <w:rPr>
          <w:rFonts w:hint="eastAsia" w:ascii="黑体" w:hAnsi="黑体" w:eastAsia="黑体"/>
          <w:sz w:val="28"/>
          <w:szCs w:val="28"/>
          <w:lang w:eastAsia="zh-CN"/>
        </w:rPr>
        <w:t>：</w:t>
      </w:r>
      <w:r>
        <w:rPr>
          <w:rFonts w:hint="eastAsia" w:ascii="黑体" w:hAnsi="黑体" w:eastAsia="黑体"/>
          <w:sz w:val="28"/>
          <w:szCs w:val="28"/>
        </w:rPr>
        <w:t>兰州佛慈制药股份有限公司</w:t>
      </w:r>
    </w:p>
    <w:p>
      <w:pPr>
        <w:jc w:val="center"/>
        <w:rPr>
          <w:rFonts w:hint="eastAsia" w:ascii="黑体" w:hAnsi="黑体" w:eastAsia="黑体"/>
          <w:sz w:val="28"/>
        </w:rPr>
      </w:pPr>
    </w:p>
    <w:p>
      <w:pPr>
        <w:ind w:left="0" w:leftChars="0" w:firstLine="0" w:firstLineChars="0"/>
        <w:jc w:val="center"/>
        <w:rPr>
          <w:rFonts w:hint="default" w:ascii="新宋体" w:hAnsi="新宋体" w:eastAsia="新宋体" w:cs="宋体"/>
          <w:b/>
          <w:bCs/>
          <w:snapToGrid w:val="0"/>
          <w:kern w:val="0"/>
          <w:sz w:val="28"/>
          <w:szCs w:val="28"/>
          <w:lang w:val="en-US" w:bidi="ar"/>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黑体" w:hAnsi="黑体" w:eastAsia="黑体"/>
          <w:sz w:val="28"/>
        </w:rPr>
        <w:t>202</w:t>
      </w:r>
      <w:r>
        <w:rPr>
          <w:rFonts w:hint="eastAsia" w:ascii="黑体" w:hAnsi="黑体" w:eastAsia="黑体"/>
          <w:sz w:val="28"/>
          <w:lang w:val="en-US" w:eastAsia="zh-CN"/>
        </w:rPr>
        <w:t>5</w:t>
      </w:r>
      <w:r>
        <w:rPr>
          <w:rFonts w:hint="eastAsia" w:ascii="黑体" w:hAnsi="黑体" w:eastAsia="黑体"/>
          <w:sz w:val="28"/>
        </w:rPr>
        <w:t>年</w:t>
      </w:r>
      <w:r>
        <w:rPr>
          <w:rFonts w:hint="eastAsia" w:ascii="黑体" w:hAnsi="黑体" w:eastAsia="黑体"/>
          <w:sz w:val="28"/>
          <w:lang w:val="en-US" w:eastAsia="zh-CN"/>
        </w:rPr>
        <w:t>6月</w:t>
      </w:r>
    </w:p>
    <w:p>
      <w:pPr>
        <w:pStyle w:val="5"/>
        <w:bidi w:val="0"/>
        <w:rPr>
          <w:rFonts w:hint="eastAsia"/>
        </w:rPr>
      </w:pPr>
      <w:r>
        <w:t>兰州佛慈制药股份有限公司</w:t>
      </w:r>
      <w:r>
        <w:rPr>
          <w:rFonts w:hint="eastAsia"/>
          <w:lang w:val="en-US" w:eastAsia="zh-CN"/>
        </w:rPr>
        <w:t>计量器具检定服务</w:t>
      </w:r>
      <w:r>
        <w:rPr>
          <w:rFonts w:hint="eastAsia"/>
        </w:rPr>
        <w:t>项目</w:t>
      </w:r>
    </w:p>
    <w:p>
      <w:pPr>
        <w:pStyle w:val="6"/>
        <w:bidi w:val="0"/>
        <w:rPr>
          <w:rFonts w:hint="eastAsia"/>
        </w:rPr>
      </w:pPr>
      <w:bookmarkStart w:id="0" w:name="_Toc21129"/>
      <w:bookmarkEnd w:id="0"/>
      <w:bookmarkStart w:id="1" w:name="_Toc20255"/>
      <w:bookmarkEnd w:id="1"/>
      <w:bookmarkStart w:id="2" w:name="_Toc24853"/>
      <w:bookmarkEnd w:id="2"/>
      <w:bookmarkStart w:id="3" w:name="_Toc12831"/>
      <w:bookmarkEnd w:id="3"/>
      <w:r>
        <w:rPr>
          <w:rFonts w:hint="eastAsia"/>
        </w:rPr>
        <w:t>一、项目概况</w:t>
      </w:r>
    </w:p>
    <w:p>
      <w:pPr>
        <w:bidi w:val="0"/>
        <w:rPr>
          <w:rFonts w:hint="eastAsia"/>
          <w:lang w:val="en-US" w:eastAsia="zh-CN"/>
        </w:rPr>
      </w:pPr>
      <w:bookmarkStart w:id="4" w:name="_Toc25909"/>
      <w:bookmarkEnd w:id="4"/>
      <w:bookmarkStart w:id="5" w:name="_Toc762"/>
      <w:bookmarkEnd w:id="5"/>
      <w:bookmarkStart w:id="6" w:name="_Toc1146"/>
      <w:bookmarkEnd w:id="6"/>
      <w:bookmarkStart w:id="7" w:name="_Toc27681"/>
      <w:bookmarkEnd w:id="7"/>
      <w:bookmarkStart w:id="8" w:name="_Toc2494"/>
      <w:r>
        <w:rPr>
          <w:rFonts w:hint="eastAsia"/>
          <w:lang w:val="en-US" w:eastAsia="zh-CN"/>
        </w:rPr>
        <w:t>1.项目名称：</w:t>
      </w:r>
      <w:bookmarkEnd w:id="8"/>
      <w:bookmarkStart w:id="9" w:name="_Toc25912"/>
      <w:r>
        <w:rPr>
          <w:rFonts w:hint="eastAsia"/>
          <w:lang w:val="en-US" w:eastAsia="zh-CN"/>
        </w:rPr>
        <w:t>兰州佛慈制药股份有限公司环境检测服务；</w:t>
      </w:r>
      <w:bookmarkEnd w:id="9"/>
    </w:p>
    <w:p>
      <w:pPr>
        <w:bidi w:val="0"/>
        <w:rPr>
          <w:rFonts w:hint="default"/>
          <w:lang w:val="en-US" w:eastAsia="zh-CN"/>
        </w:rPr>
      </w:pPr>
      <w:bookmarkStart w:id="10" w:name="_Toc6198"/>
      <w:r>
        <w:rPr>
          <w:rFonts w:hint="eastAsia"/>
          <w:lang w:val="en-US" w:eastAsia="zh-CN"/>
        </w:rPr>
        <w:t>2.项目地点：</w:t>
      </w:r>
      <w:bookmarkEnd w:id="10"/>
      <w:r>
        <w:rPr>
          <w:rFonts w:hint="eastAsia"/>
          <w:lang w:val="en-US" w:eastAsia="zh-CN"/>
        </w:rPr>
        <w:t>甘肃省兰州市兰州新区华山路2289号，兰州佛慈制药股份有限公司厂区</w:t>
      </w:r>
    </w:p>
    <w:p>
      <w:pPr>
        <w:spacing w:line="360" w:lineRule="auto"/>
        <w:rPr>
          <w:rFonts w:hint="eastAsia" w:ascii="Times New Roman" w:hAnsi="Times New Roman" w:cs="Times New Roman"/>
          <w:lang w:val="en-US" w:eastAsia="zh-CN"/>
        </w:rPr>
      </w:pPr>
      <w:r>
        <w:rPr>
          <w:rFonts w:hint="eastAsia"/>
          <w:lang w:val="en-US" w:eastAsia="zh-CN"/>
        </w:rPr>
        <w:t>3.</w:t>
      </w:r>
      <w:r>
        <w:rPr>
          <w:rFonts w:hint="eastAsia" w:ascii="Times New Roman" w:hAnsi="Times New Roman" w:cs="Times New Roman"/>
          <w:lang w:val="en-US" w:eastAsia="zh-CN"/>
        </w:rPr>
        <w:t>投标人应对本项目所有招标货物和服务进行报价，不允许只对部分货物和服务投标报价。</w:t>
      </w:r>
    </w:p>
    <w:p>
      <w:pPr>
        <w:rPr>
          <w:rFonts w:hint="default" w:ascii="宋体" w:hAnsi="宋体"/>
          <w:color w:val="000000"/>
          <w:sz w:val="28"/>
          <w:szCs w:val="28"/>
          <w:lang w:val="en-US"/>
        </w:rPr>
      </w:pPr>
      <w:r>
        <w:rPr>
          <w:rFonts w:hint="eastAsia"/>
          <w:lang w:val="en-US" w:eastAsia="zh-CN"/>
        </w:rPr>
        <w:t>4.服务期限：一年</w:t>
      </w:r>
    </w:p>
    <w:p>
      <w:pPr>
        <w:rPr>
          <w:rFonts w:hint="eastAsia" w:ascii="Times New Roman" w:hAnsi="Times New Roman" w:cs="Times New Roman"/>
          <w:lang w:val="en-US" w:eastAsia="zh-CN"/>
        </w:rPr>
      </w:pPr>
      <w:r>
        <w:rPr>
          <w:rFonts w:hint="eastAsia"/>
          <w:lang w:val="en-US" w:eastAsia="zh-CN"/>
        </w:rPr>
        <w:t>5.</w:t>
      </w:r>
      <w:r>
        <w:rPr>
          <w:rFonts w:hint="eastAsia" w:ascii="Times New Roman" w:hAnsi="Times New Roman" w:cs="Times New Roman"/>
          <w:lang w:val="en-US" w:eastAsia="zh-CN"/>
        </w:rPr>
        <w:t>资金来源：自筹资金。</w:t>
      </w:r>
      <w:bookmarkStart w:id="11" w:name="_Toc20474"/>
    </w:p>
    <w:bookmarkEnd w:id="11"/>
    <w:p>
      <w:pPr>
        <w:pStyle w:val="6"/>
        <w:bidi w:val="0"/>
        <w:rPr>
          <w:rFonts w:hint="eastAsia"/>
        </w:rPr>
      </w:pPr>
      <w:r>
        <w:rPr>
          <w:rFonts w:hint="eastAsia"/>
        </w:rPr>
        <w:t>二、招标内容</w:t>
      </w:r>
    </w:p>
    <w:p>
      <w:pPr>
        <w:bidi w:val="0"/>
        <w:ind w:firstLine="640" w:firstLineChars="200"/>
        <w:rPr>
          <w:rFonts w:hint="eastAsia" w:ascii="Times New Roman" w:hAnsi="Times New Roman" w:cs="Times New Roman"/>
          <w:lang w:val="en-US" w:eastAsia="zh-CN"/>
        </w:rPr>
      </w:pPr>
      <w:bookmarkStart w:id="12" w:name="_Toc61"/>
      <w:r>
        <w:rPr>
          <w:rFonts w:hint="eastAsia" w:ascii="Times New Roman" w:hAnsi="Times New Roman" w:cs="Times New Roman"/>
          <w:lang w:val="en-US" w:eastAsia="zh-CN"/>
        </w:rPr>
        <w:t>本次招标内容为兰州佛慈制药股份有限公司</w:t>
      </w:r>
      <w:r>
        <w:rPr>
          <w:rFonts w:hint="eastAsia" w:cs="Times New Roman"/>
          <w:lang w:val="en-US" w:eastAsia="zh-CN"/>
        </w:rPr>
        <w:t>环境检测</w:t>
      </w:r>
      <w:r>
        <w:rPr>
          <w:rFonts w:hint="eastAsia" w:ascii="Times New Roman" w:hAnsi="Times New Roman" w:cs="Times New Roman"/>
          <w:lang w:val="en-US" w:eastAsia="zh-CN"/>
        </w:rPr>
        <w:t>，</w:t>
      </w:r>
      <w:bookmarkEnd w:id="12"/>
      <w:r>
        <w:rPr>
          <w:rFonts w:hint="eastAsia" w:ascii="Times New Roman" w:hAnsi="Times New Roman" w:cs="Times New Roman"/>
          <w:lang w:val="en-US" w:eastAsia="zh-CN"/>
        </w:rPr>
        <w:t>包括但不限于以下内容：</w:t>
      </w:r>
    </w:p>
    <w:p>
      <w:pPr>
        <w:numPr>
          <w:ilvl w:val="0"/>
          <w:numId w:val="0"/>
        </w:numPr>
        <w:bidi w:val="0"/>
        <w:ind w:firstLine="640" w:firstLineChars="200"/>
        <w:rPr>
          <w:rFonts w:hint="eastAsia" w:ascii="Times New Roman" w:hAnsi="Times New Roman" w:cs="Times New Roman"/>
          <w:lang w:val="en-US" w:eastAsia="zh-CN"/>
        </w:rPr>
      </w:pPr>
      <w:r>
        <w:rPr>
          <w:rFonts w:hint="eastAsia" w:cs="Times New Roman"/>
          <w:lang w:val="en-US" w:eastAsia="zh-CN"/>
        </w:rPr>
        <w:t>1.根据排污许可证要求的检测项目及频次，完成相应的环境检测并出具检测报告，具体检测项目及频次可参考附件</w:t>
      </w:r>
      <w:bookmarkStart w:id="17" w:name="_GoBack"/>
      <w:bookmarkEnd w:id="17"/>
      <w:r>
        <w:rPr>
          <w:rFonts w:hint="eastAsia" w:cs="Times New Roman"/>
          <w:lang w:val="en-US" w:eastAsia="zh-CN"/>
        </w:rPr>
        <w:t>；</w:t>
      </w:r>
    </w:p>
    <w:p>
      <w:pPr>
        <w:numPr>
          <w:ilvl w:val="0"/>
          <w:numId w:val="0"/>
        </w:numPr>
        <w:bidi w:val="0"/>
        <w:ind w:firstLine="640" w:firstLineChars="200"/>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负责</w:t>
      </w:r>
      <w:r>
        <w:rPr>
          <w:rFonts w:hint="eastAsia" w:cs="Times New Roman"/>
          <w:lang w:val="en-US" w:eastAsia="zh-CN"/>
        </w:rPr>
        <w:t>按时完成季度和年度执行报告的填报工作</w:t>
      </w:r>
      <w:r>
        <w:rPr>
          <w:rFonts w:hint="eastAsia" w:ascii="Times New Roman" w:hAnsi="Times New Roman" w:cs="Times New Roman"/>
          <w:lang w:val="en-US" w:eastAsia="zh-CN"/>
        </w:rPr>
        <w:t>；</w:t>
      </w:r>
    </w:p>
    <w:p>
      <w:pPr>
        <w:numPr>
          <w:ilvl w:val="0"/>
          <w:numId w:val="0"/>
        </w:numPr>
        <w:bidi w:val="0"/>
        <w:ind w:firstLine="640" w:firstLineChars="200"/>
        <w:rPr>
          <w:rFonts w:hint="eastAsia" w:cs="Times New Roman"/>
          <w:lang w:val="en-US" w:eastAsia="zh-CN"/>
        </w:rPr>
      </w:pPr>
      <w:r>
        <w:rPr>
          <w:rFonts w:hint="eastAsia" w:cs="Times New Roman"/>
          <w:lang w:val="en-US" w:eastAsia="zh-CN"/>
        </w:rPr>
        <w:t>3.应按照专业操守尽其所能，按甲方要求的期限完成监测分析任务，并按照本合同约定的期限向甲方提供优质的检验检测服务，并及时出具符合兰州市生态环境局要求的检测报告与排污许可证执行报告；</w:t>
      </w:r>
    </w:p>
    <w:p>
      <w:pPr>
        <w:numPr>
          <w:ilvl w:val="0"/>
          <w:numId w:val="0"/>
        </w:numPr>
        <w:bidi w:val="0"/>
        <w:ind w:firstLine="640" w:firstLineChars="200"/>
        <w:rPr>
          <w:rFonts w:hint="eastAsia" w:cs="Times New Roman"/>
          <w:lang w:val="en-US" w:eastAsia="zh-CN"/>
        </w:rPr>
      </w:pPr>
      <w:r>
        <w:rPr>
          <w:rFonts w:hint="eastAsia" w:cs="Times New Roman"/>
          <w:lang w:val="en-US" w:eastAsia="zh-CN"/>
        </w:rPr>
        <w:t>4.采用国家或行业现行有效的标准方法和技术规范开展检测，实行检测全程质量保证，必须对样品的一切检测数据和检测技术负责，未经甲方书面同意不得将检测结果泄露给任何第三方，也不得将与样品有关的技术资料用于任何经营及开发活动；</w:t>
      </w:r>
    </w:p>
    <w:p>
      <w:pPr>
        <w:numPr>
          <w:ilvl w:val="0"/>
          <w:numId w:val="0"/>
        </w:numPr>
        <w:bidi w:val="0"/>
        <w:ind w:firstLine="640" w:firstLineChars="200"/>
        <w:rPr>
          <w:rFonts w:hint="eastAsia" w:cs="Times New Roman"/>
          <w:lang w:val="en-US" w:eastAsia="zh-CN"/>
        </w:rPr>
      </w:pPr>
      <w:r>
        <w:rPr>
          <w:rFonts w:hint="eastAsia" w:cs="Times New Roman"/>
          <w:lang w:val="en-US" w:eastAsia="zh-CN"/>
        </w:rPr>
        <w:t>5.严格执行质量方针和保密承诺，严禁采样人员在采样过程中以任何形式索取好处费或其他与客户约定之外的行为，保证检测的客观公正性；</w:t>
      </w:r>
    </w:p>
    <w:p>
      <w:pPr>
        <w:numPr>
          <w:ilvl w:val="0"/>
          <w:numId w:val="0"/>
        </w:numPr>
        <w:bidi w:val="0"/>
        <w:ind w:firstLine="640" w:firstLineChars="200"/>
        <w:rPr>
          <w:rFonts w:hint="eastAsia"/>
          <w:lang w:val="en-US" w:eastAsia="zh-CN"/>
        </w:rPr>
      </w:pPr>
      <w:r>
        <w:rPr>
          <w:rFonts w:hint="eastAsia" w:cs="Times New Roman"/>
          <w:lang w:val="en-US" w:eastAsia="zh-CN"/>
        </w:rPr>
        <w:t>6.要配合甲方，共同负责省市环保部门的检查及审核手续的办理。</w:t>
      </w:r>
    </w:p>
    <w:p>
      <w:pPr>
        <w:pStyle w:val="6"/>
        <w:bidi w:val="0"/>
        <w:rPr>
          <w:rFonts w:hint="default"/>
        </w:rPr>
      </w:pPr>
      <w:r>
        <w:rPr>
          <w:rFonts w:hint="eastAsia"/>
          <w:lang w:val="en-US" w:eastAsia="zh-CN"/>
        </w:rPr>
        <w:t>三、服务商资格要求</w:t>
      </w:r>
    </w:p>
    <w:p>
      <w:pPr>
        <w:rPr>
          <w:rFonts w:hint="eastAsia" w:ascii="Times New Roman" w:hAnsi="Times New Roman" w:cs="Times New Roman"/>
          <w:lang w:val="en-US" w:eastAsia="zh-CN"/>
        </w:rPr>
      </w:pPr>
      <w:bookmarkStart w:id="13" w:name="_Toc7883"/>
      <w:bookmarkEnd w:id="13"/>
      <w:bookmarkStart w:id="14" w:name="_Toc4422"/>
      <w:bookmarkEnd w:id="14"/>
      <w:bookmarkStart w:id="15" w:name="_Toc20103"/>
      <w:bookmarkEnd w:id="15"/>
      <w:bookmarkStart w:id="16" w:name="_Toc29370"/>
      <w:bookmarkEnd w:id="16"/>
      <w:r>
        <w:rPr>
          <w:rFonts w:hint="eastAsia" w:ascii="Times New Roman" w:hAnsi="Times New Roman" w:cs="Times New Roman"/>
          <w:lang w:val="en-US" w:eastAsia="zh-CN"/>
        </w:rPr>
        <w:t>1.投标人须在中华人民共和国境内注册，具备有效的企业法人营业执照、组织机构代码证、税务登记证（国税、地税） (三证合一的只需提供营业执照即可)等相关资质</w:t>
      </w:r>
      <w:r>
        <w:rPr>
          <w:rFonts w:hint="eastAsia" w:cs="Times New Roman"/>
          <w:lang w:val="en-US" w:eastAsia="zh-CN"/>
        </w:rPr>
        <w:t>，营业范围包含环境检测等相关内容</w:t>
      </w:r>
      <w:r>
        <w:rPr>
          <w:rFonts w:hint="eastAsia" w:ascii="Times New Roman" w:hAnsi="Times New Roman" w:cs="Times New Roman"/>
          <w:lang w:val="en-US" w:eastAsia="zh-CN"/>
        </w:rPr>
        <w:t>。</w:t>
      </w:r>
    </w:p>
    <w:p>
      <w:pPr>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2.</w:t>
      </w:r>
      <w:r>
        <w:rPr>
          <w:rFonts w:hint="eastAsia" w:cs="宋体"/>
          <w:kern w:val="2"/>
          <w:highlight w:val="none"/>
        </w:rPr>
        <w:t>投标人</w:t>
      </w:r>
      <w:r>
        <w:rPr>
          <w:rFonts w:hint="eastAsia" w:cs="宋体"/>
          <w:kern w:val="2"/>
          <w:highlight w:val="none"/>
          <w:lang w:val="en-US" w:eastAsia="zh-CN"/>
        </w:rPr>
        <w:t>须</w:t>
      </w:r>
      <w:r>
        <w:rPr>
          <w:rFonts w:hint="eastAsia" w:cs="宋体"/>
          <w:kern w:val="2"/>
          <w:highlight w:val="none"/>
        </w:rPr>
        <w:t>提供检验检测机构认定证书</w:t>
      </w:r>
      <w:r>
        <w:rPr>
          <w:rFonts w:hint="eastAsia" w:cs="宋体"/>
          <w:kern w:val="2"/>
          <w:highlight w:val="none"/>
          <w:lang w:eastAsia="zh-CN"/>
        </w:rPr>
        <w:t>。</w:t>
      </w:r>
    </w:p>
    <w:p>
      <w:pPr>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投标人须提供</w:t>
      </w:r>
      <w:r>
        <w:rPr>
          <w:rFonts w:hint="eastAsia" w:cs="Times New Roman"/>
          <w:lang w:val="en-US" w:eastAsia="zh-CN"/>
        </w:rPr>
        <w:t>近三年</w:t>
      </w:r>
      <w:r>
        <w:rPr>
          <w:rFonts w:hint="eastAsia" w:ascii="Times New Roman" w:hAnsi="Times New Roman" w:cs="Times New Roman"/>
          <w:lang w:val="en-US" w:eastAsia="zh-CN"/>
        </w:rPr>
        <w:t>的</w:t>
      </w:r>
      <w:r>
        <w:rPr>
          <w:rFonts w:hint="eastAsia"/>
          <w:lang w:val="en-US" w:eastAsia="zh-CN"/>
        </w:rPr>
        <w:t>不少于6个</w:t>
      </w:r>
      <w:r>
        <w:rPr>
          <w:rFonts w:hint="eastAsia" w:cs="Times New Roman"/>
          <w:lang w:val="en-US" w:eastAsia="zh-CN"/>
        </w:rPr>
        <w:t>类似</w:t>
      </w:r>
      <w:r>
        <w:rPr>
          <w:rFonts w:hint="eastAsia" w:ascii="Times New Roman" w:hAnsi="Times New Roman" w:cs="Times New Roman"/>
          <w:lang w:val="en-US" w:eastAsia="zh-CN"/>
        </w:rPr>
        <w:t>项目业绩（以建设行政主管部门备案的中标通知书或已签订的合同为依据）。</w:t>
      </w:r>
    </w:p>
    <w:p>
      <w:pPr>
        <w:rPr>
          <w:rFonts w:hint="eastAsia" w:ascii="Times New Roman" w:hAnsi="Times New Roman" w:cs="Times New Roman"/>
          <w:lang w:val="en-US" w:eastAsia="zh-CN"/>
        </w:rPr>
      </w:pPr>
      <w:r>
        <w:rPr>
          <w:rFonts w:hint="eastAsia" w:ascii="Times New Roman" w:hAnsi="Times New Roman" w:cs="Times New Roman"/>
          <w:lang w:val="en-US" w:eastAsia="zh-CN"/>
        </w:rPr>
        <w:t>3.具有完善的质量保证体系和售后服务体系（</w:t>
      </w:r>
      <w:r>
        <w:rPr>
          <w:rFonts w:hint="eastAsia" w:cs="Times New Roman"/>
          <w:lang w:val="en-US" w:eastAsia="zh-CN"/>
        </w:rPr>
        <w:t>服务企业</w:t>
      </w:r>
      <w:r>
        <w:rPr>
          <w:rFonts w:hint="eastAsia" w:ascii="Times New Roman" w:hAnsi="Times New Roman" w:cs="Times New Roman"/>
          <w:lang w:val="en-US" w:eastAsia="zh-CN"/>
        </w:rPr>
        <w:t>需保证足够的技术服务能力，在国内有良好的信誉）。</w:t>
      </w:r>
    </w:p>
    <w:p>
      <w:pPr>
        <w:rPr>
          <w:rFonts w:hint="eastAsia" w:ascii="Times New Roman" w:hAnsi="Times New Roman" w:cs="Times New Roman"/>
          <w:lang w:val="en-US" w:eastAsia="zh-CN"/>
        </w:rPr>
      </w:pPr>
      <w:r>
        <w:rPr>
          <w:rFonts w:hint="eastAsia" w:ascii="Times New Roman" w:hAnsi="Times New Roman" w:cs="Times New Roman"/>
          <w:lang w:val="en-US" w:eastAsia="zh-CN"/>
        </w:rPr>
        <w:t>4.单位负责人为同一人或者存在控股、管理关系的不同单位，不得同时参加同一标包的投标；法定代表人为同一人的两个及两个以上法人，母公司、全资子公司及其控股公司，不得同时参加同一标包的投标。</w:t>
      </w:r>
    </w:p>
    <w:p>
      <w:pPr>
        <w:numPr>
          <w:ilvl w:val="0"/>
          <w:numId w:val="0"/>
        </w:numPr>
        <w:bidi w:val="0"/>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5.投标人须具有良好的银行资信和商业信誉，没有处于被责令停业，财产被接管、冻结或破产状态。须提供202</w:t>
      </w:r>
      <w:r>
        <w:rPr>
          <w:rFonts w:hint="eastAsia" w:cs="Times New Roman"/>
          <w:lang w:val="en-US" w:eastAsia="zh-CN"/>
        </w:rPr>
        <w:t>4</w:t>
      </w:r>
      <w:r>
        <w:rPr>
          <w:rFonts w:hint="eastAsia" w:ascii="Times New Roman" w:hAnsi="Times New Roman" w:cs="Times New Roman"/>
          <w:lang w:val="en-US" w:eastAsia="zh-CN"/>
        </w:rPr>
        <w:t>年度经第三方审计的财务报告或银行资信证明。</w:t>
      </w:r>
    </w:p>
    <w:p>
      <w:pPr>
        <w:numPr>
          <w:ilvl w:val="0"/>
          <w:numId w:val="0"/>
        </w:numPr>
        <w:bidi w:val="0"/>
        <w:ind w:firstLine="640" w:firstLineChars="200"/>
        <w:rPr>
          <w:rFonts w:hint="default" w:ascii="Times New Roman" w:hAnsi="Times New Roman" w:cs="Times New Roman"/>
          <w:lang w:val="en-US" w:eastAsia="zh-CN"/>
        </w:rPr>
      </w:pPr>
      <w:r>
        <w:rPr>
          <w:rFonts w:hint="eastAsia" w:cs="Times New Roman"/>
          <w:lang w:val="en-US" w:eastAsia="zh-CN"/>
        </w:rPr>
        <w:t>6</w:t>
      </w:r>
      <w:r>
        <w:rPr>
          <w:rFonts w:hint="eastAsia" w:ascii="Times New Roman" w:hAnsi="Times New Roman" w:cs="Times New Roman"/>
          <w:lang w:val="en-US" w:eastAsia="zh-CN"/>
        </w:rPr>
        <w:t>.投标人须为未被列入“国家企业信用信息公示系统”（http://www.gsxt.gov.cn）严重失信企业名单；未被列入“信用甘肃”网站（https://credit.gansu.gov.cn/）记录失信被执行人或财政性资金管理使用领域相关失信责任主体、统计领域严重失信企业及其有关人员等的方可参加本项目的投标。</w:t>
      </w:r>
    </w:p>
    <w:p>
      <w:pPr>
        <w:numPr>
          <w:ilvl w:val="0"/>
          <w:numId w:val="0"/>
        </w:numPr>
        <w:bidi w:val="0"/>
        <w:ind w:firstLine="640" w:firstLineChars="200"/>
        <w:rPr>
          <w:rFonts w:hint="eastAsia" w:ascii="Times New Roman" w:hAnsi="Times New Roman" w:cs="Times New Roman"/>
          <w:lang w:val="en-US" w:eastAsia="zh-CN"/>
        </w:rPr>
      </w:pPr>
      <w:r>
        <w:rPr>
          <w:rFonts w:hint="eastAsia" w:cs="Times New Roman"/>
          <w:lang w:val="en-US" w:eastAsia="zh-CN"/>
        </w:rPr>
        <w:t>7</w:t>
      </w:r>
      <w:r>
        <w:rPr>
          <w:rFonts w:hint="eastAsia" w:ascii="Times New Roman" w:hAnsi="Times New Roman" w:cs="Times New Roman"/>
          <w:lang w:val="en-US" w:eastAsia="zh-CN"/>
        </w:rPr>
        <w:t>.本次招标不接受联合体。</w:t>
      </w:r>
    </w:p>
    <w:p>
      <w:pPr>
        <w:numPr>
          <w:ilvl w:val="0"/>
          <w:numId w:val="0"/>
        </w:numPr>
        <w:bidi w:val="0"/>
        <w:ind w:firstLine="640" w:firstLineChars="200"/>
        <w:rPr>
          <w:rFonts w:hint="eastAsia" w:ascii="Times New Roman" w:hAnsi="Times New Roman" w:cs="Times New Roman"/>
          <w:lang w:val="en-US" w:eastAsia="zh-CN"/>
        </w:rPr>
      </w:pPr>
      <w:r>
        <w:rPr>
          <w:rFonts w:hint="eastAsia" w:cs="Times New Roman"/>
          <w:lang w:val="en-US" w:eastAsia="zh-CN"/>
        </w:rPr>
        <w:t>8</w:t>
      </w:r>
      <w:r>
        <w:rPr>
          <w:rFonts w:hint="eastAsia" w:ascii="Times New Roman" w:hAnsi="Times New Roman" w:cs="Times New Roman"/>
          <w:lang w:val="en-US" w:eastAsia="zh-CN"/>
        </w:rPr>
        <w:t>.符合法律、行政法规规定的其他条件。</w:t>
      </w:r>
    </w:p>
    <w:p>
      <w:pPr>
        <w:numPr>
          <w:ilvl w:val="0"/>
          <w:numId w:val="0"/>
        </w:numPr>
        <w:bidi w:val="0"/>
        <w:ind w:firstLine="640" w:firstLineChars="200"/>
        <w:rPr>
          <w:rFonts w:hint="eastAsia" w:ascii="Times New Roman" w:hAnsi="Times New Roman" w:cs="Times New Roman"/>
          <w:lang w:val="en-US" w:eastAsia="zh-CN"/>
        </w:rPr>
      </w:pPr>
      <w:r>
        <w:rPr>
          <w:rFonts w:hint="eastAsia" w:cs="Times New Roman"/>
          <w:lang w:val="en-US" w:eastAsia="zh-CN"/>
        </w:rPr>
        <w:t>9</w:t>
      </w:r>
      <w:r>
        <w:rPr>
          <w:rFonts w:hint="eastAsia" w:ascii="Times New Roman" w:hAnsi="Times New Roman" w:cs="Times New Roman"/>
          <w:lang w:val="en-US" w:eastAsia="zh-CN"/>
        </w:rPr>
        <w:t>.投标人不得将本项目招标内容以任何方式进行转包。</w:t>
      </w:r>
    </w:p>
    <w:p>
      <w:pPr>
        <w:pStyle w:val="2"/>
        <w:ind w:left="0" w:leftChars="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0</w:t>
      </w:r>
      <w:r>
        <w:rPr>
          <w:rFonts w:hint="eastAsia" w:ascii="Times New Roman" w:hAnsi="Times New Roman" w:cs="Times New Roman"/>
          <w:lang w:val="en-US" w:eastAsia="zh-CN"/>
        </w:rPr>
        <w:t>.本项目招标采用资格后审。</w:t>
      </w:r>
    </w:p>
    <w:p>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投标人有下列行为之一的，招标人可以取消其投标和中标资格：</w:t>
      </w:r>
    </w:p>
    <w:p>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w:t>
      </w:r>
      <w:r>
        <w:rPr>
          <w:rFonts w:hint="eastAsia" w:ascii="Times New Roman" w:hAnsi="Times New Roman" w:cs="Times New Roman"/>
          <w:lang w:val="en-US" w:eastAsia="zh-CN"/>
        </w:rPr>
        <w:t>逾期确认投标；</w:t>
      </w:r>
    </w:p>
    <w:p>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cs="Times New Roman"/>
          <w:lang w:val="en-US" w:eastAsia="zh-CN"/>
        </w:rPr>
        <w:t>.</w:t>
      </w:r>
      <w:r>
        <w:rPr>
          <w:rFonts w:hint="eastAsia" w:ascii="Times New Roman" w:hAnsi="Times New Roman" w:cs="Times New Roman"/>
          <w:lang w:val="en-US" w:eastAsia="zh-CN"/>
        </w:rPr>
        <w:t>提供严重虚假资料和信息，或者不能兑现投标承诺；</w:t>
      </w:r>
    </w:p>
    <w:p>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w:t>
      </w:r>
      <w:r>
        <w:rPr>
          <w:rFonts w:hint="eastAsia" w:cs="Times New Roman"/>
          <w:lang w:val="en-US" w:eastAsia="zh-CN"/>
        </w:rPr>
        <w:t>.</w:t>
      </w:r>
      <w:r>
        <w:rPr>
          <w:rFonts w:hint="eastAsia" w:ascii="Times New Roman" w:hAnsi="Times New Roman" w:cs="Times New Roman"/>
          <w:lang w:val="en-US" w:eastAsia="zh-CN"/>
        </w:rPr>
        <w:t>已破产或停业清理，或者已成为宣告破产诉讼的主体；</w:t>
      </w:r>
    </w:p>
    <w:p>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4</w:t>
      </w:r>
      <w:r>
        <w:rPr>
          <w:rFonts w:hint="eastAsia" w:cs="Times New Roman"/>
          <w:lang w:val="en-US" w:eastAsia="zh-CN"/>
        </w:rPr>
        <w:t>.</w:t>
      </w:r>
      <w:r>
        <w:rPr>
          <w:rFonts w:hint="eastAsia" w:ascii="Times New Roman" w:hAnsi="Times New Roman" w:cs="Times New Roman"/>
          <w:lang w:val="en-US" w:eastAsia="zh-CN"/>
        </w:rPr>
        <w:t>已被判决犯有专业行为方面的罪行，或被证明犯有严重专业渎职罪；</w:t>
      </w:r>
    </w:p>
    <w:p>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5</w:t>
      </w:r>
      <w:r>
        <w:rPr>
          <w:rFonts w:hint="eastAsia" w:cs="Times New Roman"/>
          <w:lang w:val="en-US" w:eastAsia="zh-CN"/>
        </w:rPr>
        <w:t>.</w:t>
      </w:r>
      <w:r>
        <w:rPr>
          <w:rFonts w:hint="eastAsia" w:ascii="Times New Roman" w:hAnsi="Times New Roman" w:cs="Times New Roman"/>
          <w:lang w:val="en-US" w:eastAsia="zh-CN"/>
        </w:rPr>
        <w:t>没有履行有关缴纳社会保险款项和履行有关纳税人的义务；</w:t>
      </w:r>
    </w:p>
    <w:p>
      <w:pPr>
        <w:numPr>
          <w:ilvl w:val="0"/>
          <w:numId w:val="0"/>
        </w:numPr>
        <w:bidi w:val="0"/>
        <w:ind w:firstLine="640" w:firstLineChars="200"/>
        <w:rPr>
          <w:rFonts w:hint="eastAsia" w:ascii="宋体" w:hAnsi="宋体" w:eastAsia="宋体" w:cs="宋体"/>
          <w:i w:val="0"/>
          <w:iCs w:val="0"/>
          <w:color w:val="2C2C2C"/>
          <w:spacing w:val="0"/>
          <w:kern w:val="0"/>
          <w:sz w:val="32"/>
          <w:szCs w:val="32"/>
          <w:lang w:val="en-US" w:eastAsia="zh-CN" w:bidi="ar"/>
        </w:rPr>
      </w:pPr>
      <w:r>
        <w:rPr>
          <w:rFonts w:hint="eastAsia" w:ascii="Times New Roman" w:hAnsi="Times New Roman" w:cs="Times New Roman"/>
          <w:lang w:val="en-US" w:eastAsia="zh-CN"/>
        </w:rPr>
        <w:t>6</w:t>
      </w:r>
      <w:r>
        <w:rPr>
          <w:rFonts w:hint="eastAsia" w:cs="Times New Roman"/>
          <w:lang w:val="en-US" w:eastAsia="zh-CN"/>
        </w:rPr>
        <w:t>.</w:t>
      </w:r>
      <w:r>
        <w:rPr>
          <w:rFonts w:hint="eastAsia" w:ascii="Times New Roman" w:hAnsi="Times New Roman" w:cs="Times New Roman"/>
          <w:lang w:val="en-US" w:eastAsia="zh-CN"/>
        </w:rPr>
        <w:t>严重违法失信企业。</w:t>
      </w:r>
    </w:p>
    <w:p>
      <w:pPr>
        <w:pStyle w:val="6"/>
        <w:bidi w:val="0"/>
        <w:rPr>
          <w:rFonts w:hint="eastAsia"/>
          <w:lang w:eastAsia="zh-CN"/>
        </w:rPr>
      </w:pPr>
      <w:r>
        <w:rPr>
          <w:rFonts w:hint="eastAsia"/>
        </w:rPr>
        <w:t>四、</w:t>
      </w:r>
      <w:r>
        <w:rPr>
          <w:rFonts w:hint="eastAsia"/>
          <w:lang w:eastAsia="zh-CN"/>
        </w:rPr>
        <w:t>报名</w:t>
      </w:r>
      <w:r>
        <w:rPr>
          <w:rFonts w:hint="eastAsia"/>
        </w:rPr>
        <w:t>时间及</w:t>
      </w:r>
      <w:r>
        <w:rPr>
          <w:rFonts w:hint="eastAsia"/>
          <w:lang w:eastAsia="zh-CN"/>
        </w:rPr>
        <w:t>标书邮寄地址</w:t>
      </w:r>
    </w:p>
    <w:p>
      <w:pPr>
        <w:bidi w:val="0"/>
        <w:rPr>
          <w:rFonts w:hint="eastAsia" w:eastAsia="仿宋_GB2312"/>
          <w:highlight w:val="none"/>
          <w:lang w:eastAsia="zh-CN"/>
        </w:rPr>
      </w:pPr>
      <w:r>
        <w:rPr>
          <w:rFonts w:hint="eastAsia"/>
          <w:highlight w:val="none"/>
        </w:rPr>
        <w:t>1</w:t>
      </w:r>
      <w:r>
        <w:rPr>
          <w:rFonts w:hint="eastAsia"/>
          <w:highlight w:val="none"/>
          <w:lang w:val="en-US" w:eastAsia="zh-CN"/>
        </w:rPr>
        <w:t>.</w:t>
      </w:r>
      <w:r>
        <w:rPr>
          <w:rFonts w:hint="eastAsia"/>
          <w:highlight w:val="none"/>
          <w:lang w:eastAsia="zh-CN"/>
        </w:rPr>
        <w:t>报名</w:t>
      </w:r>
      <w:r>
        <w:rPr>
          <w:rFonts w:hint="eastAsia"/>
          <w:highlight w:val="none"/>
          <w:lang w:val="en-US" w:eastAsia="zh-CN"/>
        </w:rPr>
        <w:t>结束</w:t>
      </w:r>
      <w:r>
        <w:rPr>
          <w:rFonts w:hint="eastAsia"/>
          <w:highlight w:val="none"/>
        </w:rPr>
        <w:t>时间：202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20</w:t>
      </w:r>
      <w:r>
        <w:rPr>
          <w:rFonts w:hint="eastAsia"/>
          <w:highlight w:val="none"/>
        </w:rPr>
        <w:t>日。</w:t>
      </w:r>
    </w:p>
    <w:p>
      <w:pPr>
        <w:bidi w:val="0"/>
        <w:rPr>
          <w:rFonts w:hint="eastAsia"/>
          <w:highlight w:val="none"/>
        </w:rPr>
      </w:pPr>
      <w:r>
        <w:rPr>
          <w:rFonts w:hint="eastAsia"/>
          <w:highlight w:val="none"/>
        </w:rPr>
        <w:t>2</w:t>
      </w:r>
      <w:r>
        <w:rPr>
          <w:rFonts w:hint="eastAsia"/>
          <w:highlight w:val="none"/>
          <w:lang w:val="en-US" w:eastAsia="zh-CN"/>
        </w:rPr>
        <w:t>.邮寄地址</w:t>
      </w:r>
      <w:r>
        <w:rPr>
          <w:rFonts w:hint="eastAsia"/>
          <w:highlight w:val="none"/>
        </w:rPr>
        <w:t>：兰州新区华山路2289号兰州佛慈制药股份有限公司。 </w:t>
      </w:r>
      <w:r>
        <w:rPr>
          <w:rFonts w:hint="eastAsia" w:ascii="Times New Roman" w:hAnsi="Times New Roman" w:cs="Times New Roman"/>
          <w:lang w:val="en-US" w:eastAsia="zh-CN"/>
        </w:rPr>
        <w:t>资料提交邮箱：</w:t>
      </w:r>
      <w:r>
        <w:rPr>
          <w:rFonts w:hint="eastAsia" w:cs="Times New Roman"/>
          <w:lang w:val="en-US" w:eastAsia="zh-CN"/>
        </w:rPr>
        <w:fldChar w:fldCharType="begin"/>
      </w:r>
      <w:r>
        <w:rPr>
          <w:rFonts w:hint="eastAsia" w:cs="Times New Roman"/>
          <w:lang w:val="en-US" w:eastAsia="zh-CN"/>
        </w:rPr>
        <w:instrText xml:space="preserve"> HYPERLINK "mailto:793642715@qq.com。" </w:instrText>
      </w:r>
      <w:r>
        <w:rPr>
          <w:rFonts w:hint="eastAsia" w:cs="Times New Roman"/>
          <w:lang w:val="en-US" w:eastAsia="zh-CN"/>
        </w:rPr>
        <w:fldChar w:fldCharType="separate"/>
      </w:r>
      <w:r>
        <w:rPr>
          <w:rStyle w:val="14"/>
          <w:rFonts w:hint="eastAsia" w:cs="Times New Roman"/>
          <w:lang w:val="en-US" w:eastAsia="zh-CN"/>
        </w:rPr>
        <w:t>793642715</w:t>
      </w:r>
      <w:r>
        <w:rPr>
          <w:rStyle w:val="14"/>
          <w:rFonts w:hint="eastAsia" w:ascii="Times New Roman" w:hAnsi="Times New Roman" w:cs="Times New Roman"/>
          <w:lang w:val="en-US" w:eastAsia="zh-CN"/>
        </w:rPr>
        <w:t>@qq.com</w:t>
      </w:r>
      <w:r>
        <w:rPr>
          <w:rStyle w:val="14"/>
          <w:rFonts w:hint="eastAsia" w:cs="Times New Roman"/>
          <w:lang w:val="en-US" w:eastAsia="zh-CN"/>
        </w:rPr>
        <w:t>。</w:t>
      </w:r>
      <w:r>
        <w:rPr>
          <w:rFonts w:hint="eastAsia" w:cs="Times New Roman"/>
          <w:lang w:val="en-US" w:eastAsia="zh-CN"/>
        </w:rPr>
        <w:fldChar w:fldCharType="end"/>
      </w:r>
    </w:p>
    <w:p>
      <w:pPr>
        <w:pStyle w:val="6"/>
        <w:bidi w:val="0"/>
        <w:rPr>
          <w:rFonts w:hint="eastAsia"/>
          <w:lang w:val="en-US" w:eastAsia="zh-CN"/>
        </w:rPr>
      </w:pPr>
      <w:r>
        <w:rPr>
          <w:rFonts w:hint="eastAsia"/>
          <w:lang w:val="en-US" w:eastAsia="zh-CN"/>
        </w:rPr>
        <w:t>五、投标方须知</w:t>
      </w:r>
    </w:p>
    <w:p>
      <w:pPr>
        <w:bidi w:val="0"/>
        <w:rPr>
          <w:rFonts w:hint="eastAsia"/>
        </w:rPr>
      </w:pPr>
      <w:r>
        <w:rPr>
          <w:rFonts w:hint="eastAsia"/>
          <w:lang w:val="en-US" w:eastAsia="zh-CN"/>
        </w:rPr>
        <w:t>1.</w:t>
      </w:r>
      <w:r>
        <w:rPr>
          <w:rFonts w:hint="eastAsia"/>
        </w:rPr>
        <w:t>投标方应详细阅读招标文件中所有要求，按招标文件要求提交全部资料及投标文件，若提交的资料未对招标文件做出全面、实质性的响应，则投标文件有可能被拒绝。</w:t>
      </w:r>
    </w:p>
    <w:p>
      <w:pPr>
        <w:bidi w:val="0"/>
        <w:rPr>
          <w:rFonts w:hint="eastAsia"/>
        </w:rPr>
      </w:pPr>
      <w:r>
        <w:rPr>
          <w:rFonts w:hint="eastAsia"/>
          <w:lang w:val="en-US" w:eastAsia="zh-CN"/>
        </w:rPr>
        <w:t>2.</w:t>
      </w:r>
      <w:r>
        <w:rPr>
          <w:rFonts w:hint="eastAsia"/>
        </w:rPr>
        <w:t>投标方按照本招标文件要求编制投标文件，并对所提供资料的正确性负责。</w:t>
      </w:r>
    </w:p>
    <w:p>
      <w:pPr>
        <w:bidi w:val="0"/>
        <w:rPr>
          <w:rFonts w:hint="eastAsia"/>
        </w:rPr>
      </w:pPr>
      <w:r>
        <w:rPr>
          <w:rFonts w:hint="eastAsia"/>
          <w:lang w:val="en-US" w:eastAsia="zh-CN"/>
        </w:rPr>
        <w:t>3.</w:t>
      </w:r>
      <w:r>
        <w:rPr>
          <w:rFonts w:hint="eastAsia"/>
        </w:rPr>
        <w:t>投标方一旦中标，不得以任何借口提出调整报价方案等要求，若提出要求，招标单位不做任何考虑，并有权取消其投标资格。</w:t>
      </w:r>
    </w:p>
    <w:p>
      <w:pPr>
        <w:bidi w:val="0"/>
        <w:rPr>
          <w:rFonts w:hint="eastAsia"/>
        </w:rPr>
      </w:pPr>
      <w:r>
        <w:rPr>
          <w:rFonts w:hint="eastAsia"/>
          <w:lang w:val="en-US" w:eastAsia="zh-CN"/>
        </w:rPr>
        <w:t>4.</w:t>
      </w:r>
      <w:r>
        <w:rPr>
          <w:rFonts w:hint="eastAsia"/>
        </w:rPr>
        <w:t>投标方参加本次招标，委托代理人请投标单位出具授权委托书，并在投标时按招标文件要求提交《法人证明书》、《法人授权委托书》，如证件不符、不全者将取消投标资格。</w:t>
      </w:r>
    </w:p>
    <w:p>
      <w:pPr>
        <w:bidi w:val="0"/>
        <w:rPr>
          <w:rFonts w:hint="eastAsia"/>
        </w:rPr>
      </w:pPr>
      <w:r>
        <w:rPr>
          <w:rFonts w:hint="eastAsia"/>
          <w:lang w:val="en-US" w:eastAsia="zh-CN"/>
        </w:rPr>
        <w:t>5.</w:t>
      </w:r>
      <w:r>
        <w:rPr>
          <w:rFonts w:hint="eastAsia"/>
        </w:rPr>
        <w:t>投标单位须按照招标文件规定的日程安排，准时参加本项目招标的各项活动，无故缺席者按中途退标处理，取消投标资格。</w:t>
      </w:r>
    </w:p>
    <w:p>
      <w:pPr>
        <w:pStyle w:val="6"/>
        <w:bidi w:val="0"/>
        <w:rPr>
          <w:rFonts w:hint="eastAsia"/>
          <w:lang w:val="en-US" w:eastAsia="zh-CN"/>
        </w:rPr>
      </w:pPr>
      <w:r>
        <w:rPr>
          <w:rFonts w:hint="eastAsia"/>
          <w:lang w:val="en-US" w:eastAsia="zh-CN"/>
        </w:rPr>
        <w:t>六、投标内容</w:t>
      </w:r>
    </w:p>
    <w:p>
      <w:pPr>
        <w:bidi w:val="0"/>
        <w:rPr>
          <w:rFonts w:hint="eastAsia"/>
          <w:lang w:eastAsia="zh-CN"/>
        </w:rPr>
      </w:pPr>
      <w:r>
        <w:rPr>
          <w:rFonts w:hint="eastAsia"/>
        </w:rPr>
        <w:t>1</w:t>
      </w:r>
      <w:r>
        <w:rPr>
          <w:rFonts w:hint="eastAsia"/>
          <w:lang w:val="en-US" w:eastAsia="zh-CN"/>
        </w:rPr>
        <w:t>.</w:t>
      </w:r>
      <w:r>
        <w:rPr>
          <w:rFonts w:hint="eastAsia"/>
        </w:rPr>
        <w:t>营业执照复印件(须加盖本单位公章)</w:t>
      </w:r>
      <w:r>
        <w:rPr>
          <w:rFonts w:hint="eastAsia"/>
          <w:lang w:eastAsia="zh-CN"/>
        </w:rPr>
        <w:t>；</w:t>
      </w:r>
    </w:p>
    <w:p>
      <w:pPr>
        <w:bidi w:val="0"/>
        <w:rPr>
          <w:rFonts w:hint="eastAsia"/>
        </w:rPr>
      </w:pPr>
      <w:r>
        <w:rPr>
          <w:rFonts w:hint="eastAsia"/>
        </w:rPr>
        <w:t>2</w:t>
      </w:r>
      <w:r>
        <w:rPr>
          <w:rFonts w:hint="eastAsia"/>
          <w:lang w:val="en-US" w:eastAsia="zh-CN"/>
        </w:rPr>
        <w:t>.</w:t>
      </w:r>
      <w:r>
        <w:rPr>
          <w:rFonts w:hint="eastAsia"/>
        </w:rPr>
        <w:t xml:space="preserve">法定代表人授权书(须加盖本单位公章、法人章、被授权人签字)及法人身份证复印件(须加盖本单位公章)； </w:t>
      </w:r>
    </w:p>
    <w:p>
      <w:pPr>
        <w:bidi w:val="0"/>
        <w:rPr>
          <w:rFonts w:hint="eastAsia"/>
        </w:rPr>
      </w:pPr>
      <w:r>
        <w:rPr>
          <w:rFonts w:hint="eastAsia"/>
        </w:rPr>
        <w:t>3</w:t>
      </w:r>
      <w:r>
        <w:rPr>
          <w:rFonts w:hint="eastAsia"/>
          <w:lang w:val="en-US" w:eastAsia="zh-CN"/>
        </w:rPr>
        <w:t>.</w:t>
      </w:r>
      <w:r>
        <w:rPr>
          <w:rFonts w:hint="eastAsia"/>
        </w:rPr>
        <w:t>具有良好的商业信誉和健全的财务会计制度的证明文件：</w:t>
      </w:r>
      <w:r>
        <w:rPr>
          <w:rFonts w:hint="eastAsia"/>
          <w:highlight w:val="none"/>
        </w:rPr>
        <w:t>提供202</w:t>
      </w:r>
      <w:r>
        <w:rPr>
          <w:rFonts w:hint="eastAsia"/>
          <w:highlight w:val="none"/>
          <w:lang w:val="en-US" w:eastAsia="zh-CN"/>
        </w:rPr>
        <w:t>3</w:t>
      </w:r>
      <w:r>
        <w:rPr>
          <w:rFonts w:hint="eastAsia"/>
          <w:highlight w:val="none"/>
        </w:rPr>
        <w:t>年度</w:t>
      </w:r>
      <w:r>
        <w:rPr>
          <w:rFonts w:hint="eastAsia"/>
          <w:highlight w:val="none"/>
          <w:lang w:val="en-US" w:eastAsia="zh-CN"/>
        </w:rPr>
        <w:t>和</w:t>
      </w:r>
      <w:r>
        <w:rPr>
          <w:rFonts w:hint="eastAsia"/>
          <w:highlight w:val="none"/>
        </w:rPr>
        <w:t>202</w:t>
      </w:r>
      <w:r>
        <w:rPr>
          <w:rFonts w:hint="eastAsia"/>
          <w:highlight w:val="none"/>
          <w:lang w:val="en-US" w:eastAsia="zh-CN"/>
        </w:rPr>
        <w:t>4</w:t>
      </w:r>
      <w:r>
        <w:rPr>
          <w:rFonts w:hint="eastAsia"/>
          <w:highlight w:val="none"/>
        </w:rPr>
        <w:t>年度会计师事务所出具的审计报告复印件</w:t>
      </w:r>
      <w:r>
        <w:rPr>
          <w:rFonts w:hint="eastAsia"/>
          <w:lang w:val="en-US" w:eastAsia="zh-CN"/>
        </w:rPr>
        <w:t>和</w:t>
      </w:r>
      <w:r>
        <w:rPr>
          <w:rFonts w:hint="eastAsia"/>
        </w:rPr>
        <w:t>资信证明(须加盖本单位公章)；</w:t>
      </w:r>
    </w:p>
    <w:p>
      <w:pPr>
        <w:bidi w:val="0"/>
        <w:rPr>
          <w:rFonts w:hint="default" w:eastAsia="仿宋_GB2312"/>
          <w:lang w:val="en-US" w:eastAsia="zh-CN"/>
        </w:rPr>
      </w:pPr>
      <w:r>
        <w:rPr>
          <w:rFonts w:hint="eastAsia"/>
        </w:rPr>
        <w:t>4</w:t>
      </w:r>
      <w:r>
        <w:rPr>
          <w:rFonts w:hint="eastAsia"/>
          <w:lang w:val="en-US" w:eastAsia="zh-CN"/>
        </w:rPr>
        <w:t>.</w:t>
      </w:r>
      <w:r>
        <w:rPr>
          <w:rFonts w:hint="eastAsia"/>
        </w:rPr>
        <w:t xml:space="preserve">具有依法缴纳税收或社会保障资金的良好记录：提供近6个月中任意3个月缴纳税收和社保的证明文件 (须加盖本单位公章)； </w:t>
      </w:r>
      <w:r>
        <w:rPr>
          <w:rFonts w:hint="eastAsia"/>
          <w:lang w:val="en-US" w:eastAsia="zh-CN"/>
        </w:rPr>
        <w:t xml:space="preserve">  </w:t>
      </w:r>
    </w:p>
    <w:p>
      <w:pPr>
        <w:bidi w:val="0"/>
        <w:rPr>
          <w:rFonts w:hint="eastAsia"/>
          <w:highlight w:val="none"/>
        </w:rPr>
      </w:pPr>
      <w:r>
        <w:rPr>
          <w:rFonts w:hint="eastAsia"/>
          <w:highlight w:val="none"/>
        </w:rPr>
        <w:t>5</w:t>
      </w:r>
      <w:r>
        <w:rPr>
          <w:rFonts w:hint="eastAsia"/>
          <w:highlight w:val="none"/>
          <w:lang w:val="en-US" w:eastAsia="zh-CN"/>
        </w:rPr>
        <w:t>.</w:t>
      </w:r>
      <w:r>
        <w:rPr>
          <w:rFonts w:hint="eastAsia"/>
          <w:highlight w:val="none"/>
        </w:rPr>
        <w:t>提供</w:t>
      </w:r>
      <w:r>
        <w:rPr>
          <w:rFonts w:hint="eastAsia"/>
          <w:highlight w:val="none"/>
          <w:lang w:val="en-US" w:eastAsia="zh-CN"/>
        </w:rPr>
        <w:t>政府采购活动前3年内</w:t>
      </w:r>
      <w:r>
        <w:rPr>
          <w:rFonts w:hint="eastAsia"/>
          <w:highlight w:val="none"/>
        </w:rPr>
        <w:t xml:space="preserve">在经营活动中没有重大违法记录的书面声明(须加盖本单位公章)； </w:t>
      </w:r>
    </w:p>
    <w:p>
      <w:pPr>
        <w:bidi w:val="0"/>
        <w:rPr>
          <w:rFonts w:hint="eastAsia" w:eastAsia="仿宋_GB2312"/>
          <w:lang w:eastAsia="zh-CN"/>
        </w:rPr>
      </w:pPr>
      <w:r>
        <w:rPr>
          <w:rFonts w:hint="eastAsia"/>
        </w:rPr>
        <w:t>6</w:t>
      </w:r>
      <w:r>
        <w:rPr>
          <w:rFonts w:hint="eastAsia"/>
          <w:lang w:val="en-US" w:eastAsia="zh-CN"/>
        </w:rPr>
        <w:t>.</w:t>
      </w:r>
      <w:r>
        <w:rPr>
          <w:rFonts w:hint="eastAsia"/>
        </w:rPr>
        <w:t>近3年内经“信用中国”网站（www.creditchina.gov.cn）、“中国政府采购网”网站 （www.ccgp.gov.cn）查询，未被列入失信被执行人、重大税收违法案件当事人名单、政府采 购严重违法失信行为记录名单，提供</w:t>
      </w:r>
      <w:r>
        <w:rPr>
          <w:rFonts w:hint="eastAsia"/>
          <w:lang w:val="en-US" w:eastAsia="zh-CN"/>
        </w:rPr>
        <w:t>投标</w:t>
      </w:r>
      <w:r>
        <w:rPr>
          <w:rFonts w:hint="eastAsia"/>
        </w:rPr>
        <w:t>前3天内“信用中国”网站、“中国政府采购网”网站查询截图加盖单位公章</w:t>
      </w:r>
      <w:r>
        <w:rPr>
          <w:rFonts w:hint="eastAsia"/>
          <w:lang w:eastAsia="zh-CN"/>
        </w:rPr>
        <w:t>；</w:t>
      </w:r>
    </w:p>
    <w:p>
      <w:pPr>
        <w:bidi w:val="0"/>
        <w:rPr>
          <w:rFonts w:hint="eastAsia" w:eastAsia="仿宋_GB2312"/>
          <w:highlight w:val="none"/>
          <w:lang w:eastAsia="zh-CN"/>
        </w:rPr>
      </w:pPr>
      <w:r>
        <w:rPr>
          <w:rFonts w:hint="eastAsia"/>
          <w:lang w:val="en-US" w:eastAsia="zh-CN"/>
        </w:rPr>
        <w:t>7.</w:t>
      </w:r>
      <w:r>
        <w:rPr>
          <w:rFonts w:hint="eastAsia"/>
        </w:rPr>
        <w:t>投标单位基本情况，描述投标企业基本资料、股东结构、</w:t>
      </w:r>
      <w:r>
        <w:rPr>
          <w:rFonts w:hint="eastAsia"/>
          <w:highlight w:val="none"/>
        </w:rPr>
        <w:t>管理、技术团队等主要信息(须加盖本单位公章)</w:t>
      </w:r>
      <w:r>
        <w:rPr>
          <w:rFonts w:hint="eastAsia"/>
          <w:highlight w:val="none"/>
          <w:lang w:eastAsia="zh-CN"/>
        </w:rPr>
        <w:t>；</w:t>
      </w:r>
    </w:p>
    <w:p>
      <w:pPr>
        <w:bidi w:val="0"/>
        <w:rPr>
          <w:rFonts w:hint="eastAsia"/>
          <w:highlight w:val="none"/>
          <w:lang w:val="en-US" w:eastAsia="zh-CN"/>
        </w:rPr>
      </w:pPr>
      <w:r>
        <w:rPr>
          <w:rFonts w:hint="eastAsia"/>
          <w:lang w:val="en-US" w:eastAsia="zh-CN"/>
        </w:rPr>
        <w:t>8.投标人须</w:t>
      </w:r>
      <w:r>
        <w:rPr>
          <w:rFonts w:hint="eastAsia"/>
          <w:color w:val="auto"/>
          <w:highlight w:val="none"/>
          <w:lang w:val="en-US" w:eastAsia="zh-CN"/>
        </w:rPr>
        <w:t>提供近三年的不少于6个类似</w:t>
      </w:r>
      <w:r>
        <w:rPr>
          <w:rFonts w:hint="eastAsia"/>
          <w:lang w:val="en-US" w:eastAsia="zh-CN"/>
        </w:rPr>
        <w:t>项目规</w:t>
      </w:r>
      <w:r>
        <w:rPr>
          <w:rFonts w:hint="eastAsia"/>
          <w:highlight w:val="none"/>
          <w:lang w:val="en-US" w:eastAsia="zh-CN"/>
        </w:rPr>
        <w:t>模的业绩</w:t>
      </w:r>
      <w:r>
        <w:rPr>
          <w:rFonts w:hint="eastAsia"/>
          <w:highlight w:val="none"/>
        </w:rPr>
        <w:t>(须加盖本单位公章)</w:t>
      </w:r>
      <w:r>
        <w:rPr>
          <w:rFonts w:hint="eastAsia"/>
          <w:highlight w:val="none"/>
          <w:lang w:eastAsia="zh-CN"/>
        </w:rPr>
        <w:t>；</w:t>
      </w:r>
    </w:p>
    <w:p>
      <w:pPr>
        <w:bidi w:val="0"/>
        <w:rPr>
          <w:rFonts w:hint="eastAsia"/>
          <w:highlight w:val="none"/>
          <w:lang w:val="en-US" w:eastAsia="zh-CN"/>
        </w:rPr>
      </w:pPr>
      <w:r>
        <w:rPr>
          <w:rFonts w:hint="eastAsia"/>
          <w:highlight w:val="none"/>
          <w:lang w:val="en-US" w:eastAsia="zh-CN"/>
        </w:rPr>
        <w:t>9.投标价格及方案</w:t>
      </w:r>
      <w:r>
        <w:rPr>
          <w:rFonts w:hint="eastAsia"/>
          <w:highlight w:val="none"/>
        </w:rPr>
        <w:t>(须加盖本单位公章)</w:t>
      </w:r>
    </w:p>
    <w:p>
      <w:pPr>
        <w:bidi w:val="0"/>
        <w:rPr>
          <w:rFonts w:hint="eastAsia"/>
        </w:rPr>
      </w:pPr>
      <w:r>
        <w:rPr>
          <w:rFonts w:hint="eastAsia"/>
        </w:rPr>
        <w:t>（1）标明服务费用的收取方式及金额。</w:t>
      </w:r>
    </w:p>
    <w:p>
      <w:pPr>
        <w:bidi w:val="0"/>
        <w:rPr>
          <w:rFonts w:hint="eastAsia"/>
          <w:lang w:eastAsia="zh-CN"/>
        </w:rPr>
      </w:pPr>
      <w:r>
        <w:rPr>
          <w:rFonts w:hint="eastAsia"/>
          <w:lang w:eastAsia="zh-CN"/>
        </w:rPr>
        <w:t>（</w:t>
      </w:r>
      <w:r>
        <w:rPr>
          <w:rFonts w:hint="eastAsia"/>
          <w:lang w:val="en-US" w:eastAsia="zh-CN"/>
        </w:rPr>
        <w:t>2</w:t>
      </w:r>
      <w:r>
        <w:rPr>
          <w:rFonts w:hint="eastAsia"/>
          <w:lang w:eastAsia="zh-CN"/>
        </w:rPr>
        <w:t>）价格报送以服务项目目类单价及综合报价。</w:t>
      </w:r>
    </w:p>
    <w:p>
      <w:pPr>
        <w:bidi w:val="0"/>
        <w:rPr>
          <w:rFonts w:hint="eastAsia"/>
        </w:rPr>
      </w:pPr>
      <w:r>
        <w:rPr>
          <w:rFonts w:hint="eastAsia"/>
        </w:rPr>
        <w:t>（</w:t>
      </w:r>
      <w:r>
        <w:rPr>
          <w:rFonts w:hint="eastAsia"/>
          <w:lang w:val="en-US" w:eastAsia="zh-CN"/>
        </w:rPr>
        <w:t>3</w:t>
      </w:r>
      <w:r>
        <w:rPr>
          <w:rFonts w:hint="eastAsia"/>
        </w:rPr>
        <w:t>）明确偏差考核方案。</w:t>
      </w:r>
    </w:p>
    <w:p>
      <w:pPr>
        <w:bidi w:val="0"/>
        <w:rPr>
          <w:rFonts w:hint="eastAsia"/>
        </w:rPr>
      </w:pPr>
      <w:r>
        <w:rPr>
          <w:rFonts w:hint="eastAsia"/>
        </w:rPr>
        <w:t>（</w:t>
      </w:r>
      <w:r>
        <w:rPr>
          <w:rFonts w:hint="eastAsia"/>
          <w:lang w:val="en-US" w:eastAsia="zh-CN"/>
        </w:rPr>
        <w:t>4</w:t>
      </w:r>
      <w:r>
        <w:rPr>
          <w:rFonts w:hint="eastAsia"/>
        </w:rPr>
        <w:t>）投标价格及方案加盖公章并由法定代表人或委托代理人签字。</w:t>
      </w:r>
    </w:p>
    <w:p>
      <w:pPr>
        <w:bidi w:val="0"/>
        <w:rPr>
          <w:rFonts w:hint="eastAsia"/>
        </w:rPr>
      </w:pPr>
      <w:r>
        <w:rPr>
          <w:rFonts w:hint="eastAsia"/>
        </w:rPr>
        <w:t>（</w:t>
      </w:r>
      <w:r>
        <w:rPr>
          <w:rFonts w:hint="eastAsia"/>
          <w:lang w:val="en-US" w:eastAsia="zh-CN"/>
        </w:rPr>
        <w:t>5</w:t>
      </w:r>
      <w:r>
        <w:rPr>
          <w:rFonts w:hint="eastAsia"/>
        </w:rPr>
        <w:t>）各投标方采取一次性报价方式。</w:t>
      </w:r>
    </w:p>
    <w:p>
      <w:pPr>
        <w:bidi w:val="0"/>
        <w:rPr>
          <w:rFonts w:hint="eastAsia" w:eastAsia="仿宋_GB2312"/>
          <w:highlight w:val="none"/>
          <w:lang w:val="en-US" w:eastAsia="zh-CN"/>
        </w:rPr>
      </w:pPr>
      <w:r>
        <w:rPr>
          <w:rFonts w:hint="eastAsia"/>
          <w:lang w:val="en-US" w:eastAsia="zh-CN"/>
        </w:rPr>
        <w:t>10.其他服务承诺及投标方觉得有必要提供的其它证明材料</w:t>
      </w:r>
      <w:r>
        <w:rPr>
          <w:rFonts w:hint="eastAsia"/>
          <w:highlight w:val="none"/>
        </w:rPr>
        <w:t>(须加盖本单位公章)</w:t>
      </w:r>
      <w:r>
        <w:rPr>
          <w:rFonts w:hint="eastAsia"/>
          <w:highlight w:val="none"/>
          <w:lang w:eastAsia="zh-CN"/>
        </w:rPr>
        <w:t>。</w:t>
      </w:r>
    </w:p>
    <w:p>
      <w:pPr>
        <w:pStyle w:val="6"/>
        <w:bidi w:val="0"/>
        <w:rPr>
          <w:rFonts w:hint="eastAsia"/>
        </w:rPr>
      </w:pPr>
      <w:r>
        <w:rPr>
          <w:rFonts w:hint="eastAsia"/>
          <w:lang w:val="en-US" w:eastAsia="zh-CN"/>
        </w:rPr>
        <w:t>七、投标</w:t>
      </w:r>
      <w:r>
        <w:rPr>
          <w:rFonts w:hint="eastAsia"/>
        </w:rPr>
        <w:t xml:space="preserve">文件的编制与递交报名 </w:t>
      </w:r>
    </w:p>
    <w:p>
      <w:pPr>
        <w:bidi w:val="0"/>
        <w:rPr>
          <w:rFonts w:hint="eastAsia"/>
        </w:rPr>
      </w:pPr>
      <w:r>
        <w:rPr>
          <w:rFonts w:hint="eastAsia"/>
        </w:rPr>
        <w:t>以中文书写，按照统一格式A4纸制作。文件内容除代理人签字外须为电脑打印，装订成册，代理人按要求签字并加盖公章，签字必须使用钢笔或碳素笔。不得涂改和增删，如有修改错漏处，必须加盖公章。文件要求密封完好</w:t>
      </w:r>
      <w:r>
        <w:rPr>
          <w:rFonts w:hint="eastAsia"/>
          <w:lang w:eastAsia="zh-CN"/>
        </w:rPr>
        <w:t>，</w:t>
      </w:r>
      <w:r>
        <w:rPr>
          <w:rFonts w:hint="eastAsia"/>
          <w:lang w:val="en-US" w:eastAsia="zh-CN"/>
        </w:rPr>
        <w:t>封面上标明投标项目、投标单位、联系人及联系手机号等。</w:t>
      </w:r>
      <w:r>
        <w:rPr>
          <w:rFonts w:hint="eastAsia"/>
        </w:rPr>
        <w:t>文件报送后一概不退。</w:t>
      </w:r>
      <w:r>
        <w:rPr>
          <w:rFonts w:hint="eastAsia"/>
          <w:lang w:val="en-US" w:eastAsia="zh-CN"/>
        </w:rPr>
        <w:t>招标文件未按要求送达的，或逾期送达的，或未送达指定地点的，或无汇款底联的，招标人不予受理。</w:t>
      </w:r>
    </w:p>
    <w:p>
      <w:pPr>
        <w:bidi w:val="0"/>
        <w:ind w:firstLine="880"/>
        <w:rPr>
          <w:rFonts w:hint="eastAsia" w:ascii="Times New Roman" w:hAnsi="Times New Roman"/>
          <w:color w:val="auto"/>
        </w:rPr>
      </w:pPr>
      <w:r>
        <w:rPr>
          <w:rFonts w:hint="eastAsia" w:ascii="Times New Roman" w:hAnsi="Times New Roman"/>
          <w:color w:val="auto"/>
          <w:lang w:val="en-US" w:eastAsia="zh-CN"/>
        </w:rPr>
        <w:t>投标</w:t>
      </w:r>
      <w:r>
        <w:rPr>
          <w:rFonts w:hint="eastAsia" w:ascii="Times New Roman" w:hAnsi="Times New Roman"/>
          <w:color w:val="auto"/>
        </w:rPr>
        <w:t>文件递交数量：</w:t>
      </w:r>
      <w:r>
        <w:rPr>
          <w:rFonts w:hint="eastAsia" w:ascii="Times New Roman" w:hAnsi="Times New Roman"/>
          <w:color w:val="auto"/>
          <w:highlight w:val="none"/>
        </w:rPr>
        <w:t>正本1份，副本</w:t>
      </w:r>
      <w:r>
        <w:rPr>
          <w:rFonts w:hint="eastAsia"/>
          <w:color w:val="auto"/>
          <w:highlight w:val="none"/>
          <w:lang w:val="en-US" w:eastAsia="zh-CN"/>
        </w:rPr>
        <w:t>2</w:t>
      </w:r>
      <w:r>
        <w:rPr>
          <w:rFonts w:hint="eastAsia" w:ascii="Times New Roman" w:hAnsi="Times New Roman"/>
          <w:color w:val="auto"/>
          <w:highlight w:val="none"/>
        </w:rPr>
        <w:t>份。</w:t>
      </w:r>
      <w:r>
        <w:rPr>
          <w:rFonts w:hint="eastAsia" w:ascii="Times New Roman" w:hAnsi="Times New Roman"/>
          <w:color w:val="auto"/>
        </w:rPr>
        <w:t xml:space="preserve"> </w:t>
      </w:r>
    </w:p>
    <w:p>
      <w:pPr>
        <w:bidi w:val="0"/>
        <w:rPr>
          <w:rFonts w:hint="eastAsia"/>
        </w:rPr>
      </w:pPr>
      <w:r>
        <w:rPr>
          <w:rFonts w:hint="eastAsia"/>
        </w:rPr>
        <w:t>投标文件递交形式及要求：投标人将资质文件、投标文件以及以u盘为介质的电子版投标文件，以</w:t>
      </w:r>
      <w:r>
        <w:rPr>
          <w:rFonts w:hint="eastAsia"/>
          <w:lang w:val="en-US" w:eastAsia="zh-CN"/>
        </w:rPr>
        <w:t>携带（或快递</w:t>
      </w:r>
      <w:r>
        <w:rPr>
          <w:rFonts w:hint="eastAsia"/>
        </w:rPr>
        <w:t>形式</w:t>
      </w:r>
      <w:r>
        <w:rPr>
          <w:rFonts w:hint="eastAsia"/>
          <w:lang w:val="en-US" w:eastAsia="zh-CN"/>
        </w:rPr>
        <w:t>）</w:t>
      </w:r>
      <w:r>
        <w:rPr>
          <w:rFonts w:hint="eastAsia"/>
        </w:rPr>
        <w:t>提交</w:t>
      </w:r>
      <w:r>
        <w:rPr>
          <w:rFonts w:hint="eastAsia"/>
          <w:lang w:val="en-US" w:eastAsia="zh-CN"/>
        </w:rPr>
        <w:t>至我公司</w:t>
      </w:r>
      <w:r>
        <w:rPr>
          <w:rFonts w:hint="eastAsia"/>
        </w:rPr>
        <w:t xml:space="preserve">。 </w:t>
      </w:r>
    </w:p>
    <w:p>
      <w:pPr>
        <w:bidi w:val="0"/>
        <w:rPr>
          <w:rFonts w:hint="eastAsia"/>
          <w:lang w:eastAsia="zh-CN"/>
        </w:rPr>
      </w:pPr>
      <w:r>
        <w:rPr>
          <w:rFonts w:hint="eastAsia"/>
          <w:color w:val="auto"/>
        </w:rPr>
        <w:t>投标文件收取截止时间：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20</w:t>
      </w:r>
      <w:r>
        <w:rPr>
          <w:rFonts w:hint="eastAsia"/>
          <w:color w:val="auto"/>
          <w:highlight w:val="none"/>
        </w:rPr>
        <w:t>日下午17：</w:t>
      </w:r>
      <w:r>
        <w:rPr>
          <w:rFonts w:hint="eastAsia"/>
          <w:color w:val="auto"/>
          <w:highlight w:val="none"/>
          <w:lang w:val="en-US" w:eastAsia="zh-CN"/>
        </w:rPr>
        <w:t>3</w:t>
      </w:r>
      <w:r>
        <w:rPr>
          <w:rFonts w:hint="eastAsia"/>
          <w:color w:val="auto"/>
          <w:highlight w:val="none"/>
        </w:rPr>
        <w:t>0(</w:t>
      </w:r>
      <w:r>
        <w:rPr>
          <w:rFonts w:hint="eastAsia"/>
          <w:color w:val="auto"/>
        </w:rPr>
        <w:t>北</w:t>
      </w:r>
      <w:r>
        <w:rPr>
          <w:rFonts w:hint="eastAsia"/>
        </w:rPr>
        <w:t xml:space="preserve">京时间) </w:t>
      </w:r>
      <w:r>
        <w:rPr>
          <w:rFonts w:hint="eastAsia"/>
          <w:lang w:eastAsia="zh-CN"/>
        </w:rPr>
        <w:t>。</w:t>
      </w:r>
    </w:p>
    <w:p>
      <w:pPr>
        <w:bidi w:val="0"/>
        <w:rPr>
          <w:rFonts w:hint="eastAsia"/>
        </w:rPr>
      </w:pPr>
      <w:r>
        <w:rPr>
          <w:rFonts w:hint="eastAsia"/>
        </w:rPr>
        <w:t>投标文件递交地点：</w:t>
      </w:r>
      <w:r>
        <w:rPr>
          <w:rFonts w:hint="eastAsia"/>
          <w:lang w:val="en-US" w:eastAsia="zh-CN"/>
        </w:rPr>
        <w:t>甘肃省兰州新区华山路2289号办公楼3楼安全环保工程部办公室。</w:t>
      </w:r>
    </w:p>
    <w:p>
      <w:pPr>
        <w:bidi w:val="0"/>
        <w:rPr>
          <w:rFonts w:hint="default"/>
          <w:highlight w:val="none"/>
          <w:lang w:val="en-US"/>
        </w:rPr>
      </w:pPr>
      <w:r>
        <w:rPr>
          <w:rFonts w:hint="eastAsia"/>
          <w:lang w:val="en-US" w:eastAsia="zh-CN"/>
        </w:rPr>
        <w:t>投标</w:t>
      </w:r>
      <w:r>
        <w:rPr>
          <w:rFonts w:hint="eastAsia"/>
        </w:rPr>
        <w:t>文件接收人：</w:t>
      </w:r>
      <w:r>
        <w:rPr>
          <w:rFonts w:hint="eastAsia"/>
          <w:lang w:val="en-US" w:eastAsia="zh-CN"/>
        </w:rPr>
        <w:t xml:space="preserve">陈工  </w:t>
      </w:r>
      <w:r>
        <w:rPr>
          <w:rFonts w:hint="eastAsia"/>
        </w:rPr>
        <w:t xml:space="preserve"> </w:t>
      </w:r>
      <w:r>
        <w:rPr>
          <w:rFonts w:hint="eastAsia"/>
          <w:lang w:val="en-US" w:eastAsia="zh-CN"/>
        </w:rPr>
        <w:t xml:space="preserve"> </w:t>
      </w:r>
      <w:r>
        <w:rPr>
          <w:rFonts w:hint="eastAsia"/>
          <w:highlight w:val="none"/>
        </w:rPr>
        <w:t>联系方式</w:t>
      </w:r>
      <w:r>
        <w:rPr>
          <w:rFonts w:hint="eastAsia"/>
          <w:highlight w:val="none"/>
          <w:lang w:eastAsia="zh-CN"/>
        </w:rPr>
        <w:t>：</w:t>
      </w:r>
      <w:r>
        <w:rPr>
          <w:rFonts w:hint="eastAsia"/>
          <w:highlight w:val="none"/>
          <w:lang w:val="en-US" w:eastAsia="zh-CN"/>
        </w:rPr>
        <w:t>0931-8258292</w:t>
      </w:r>
    </w:p>
    <w:p>
      <w:pPr>
        <w:pStyle w:val="6"/>
        <w:bidi w:val="0"/>
        <w:rPr>
          <w:rFonts w:hint="eastAsia"/>
          <w:lang w:val="en-US" w:eastAsia="zh-CN"/>
        </w:rPr>
      </w:pPr>
      <w:r>
        <w:rPr>
          <w:rFonts w:hint="eastAsia"/>
          <w:lang w:val="en-US" w:eastAsia="zh-CN"/>
        </w:rPr>
        <w:t>八</w:t>
      </w:r>
      <w:r>
        <w:rPr>
          <w:rFonts w:hint="eastAsia"/>
        </w:rPr>
        <w:t xml:space="preserve">、开标及评标时间、地点 </w:t>
      </w:r>
    </w:p>
    <w:p>
      <w:pPr>
        <w:bidi w:val="0"/>
        <w:rPr>
          <w:rFonts w:hint="eastAsia"/>
        </w:rPr>
      </w:pPr>
      <w:r>
        <w:rPr>
          <w:rFonts w:hint="eastAsia"/>
        </w:rPr>
        <w:t xml:space="preserve">时间：待定 </w:t>
      </w:r>
    </w:p>
    <w:p>
      <w:pPr>
        <w:bidi w:val="0"/>
        <w:rPr>
          <w:rFonts w:hint="eastAsia" w:ascii="宋体" w:hAnsi="宋体" w:eastAsia="宋体" w:cs="宋体"/>
          <w:szCs w:val="24"/>
        </w:rPr>
      </w:pPr>
      <w:r>
        <w:rPr>
          <w:rFonts w:hint="eastAsia"/>
        </w:rPr>
        <w:t>地点：</w:t>
      </w:r>
      <w:r>
        <w:rPr>
          <w:rFonts w:hint="eastAsia"/>
          <w:lang w:val="en-US" w:eastAsia="zh-CN"/>
        </w:rPr>
        <w:t>甘肃省兰州新区华山路2289号。</w:t>
      </w:r>
    </w:p>
    <w:p>
      <w:pPr>
        <w:pStyle w:val="6"/>
        <w:bidi w:val="0"/>
        <w:rPr>
          <w:rFonts w:hint="eastAsia"/>
        </w:rPr>
      </w:pPr>
      <w:r>
        <w:rPr>
          <w:rFonts w:hint="eastAsia"/>
          <w:lang w:val="en-US" w:eastAsia="zh-CN"/>
        </w:rPr>
        <w:t>九、</w:t>
      </w:r>
      <w:r>
        <w:rPr>
          <w:rFonts w:hint="eastAsia"/>
        </w:rPr>
        <w:t>投标文件的审查</w:t>
      </w:r>
    </w:p>
    <w:p>
      <w:pPr>
        <w:bidi w:val="0"/>
        <w:rPr>
          <w:rFonts w:hint="eastAsia"/>
        </w:rPr>
      </w:pPr>
      <w:r>
        <w:rPr>
          <w:rFonts w:hint="eastAsia"/>
          <w:lang w:val="en-US" w:eastAsia="zh-CN"/>
        </w:rPr>
        <w:t>1.</w:t>
      </w:r>
      <w:r>
        <w:rPr>
          <w:rFonts w:hint="eastAsia"/>
        </w:rPr>
        <w:t>开标后，招标方将审查投标文件是否完整，是否符合规定。</w:t>
      </w:r>
    </w:p>
    <w:p>
      <w:pPr>
        <w:bidi w:val="0"/>
        <w:rPr>
          <w:rFonts w:hint="eastAsia"/>
        </w:rPr>
      </w:pPr>
      <w:r>
        <w:rPr>
          <w:rFonts w:hint="eastAsia"/>
          <w:lang w:val="en-US" w:eastAsia="zh-CN"/>
        </w:rPr>
        <w:t>2.</w:t>
      </w:r>
      <w:r>
        <w:rPr>
          <w:rFonts w:hint="eastAsia"/>
        </w:rPr>
        <w:t>对投标文件进行评议前，招标方将检查每一标是否对招标文件的要求做出了实质性的响应，是否符合市场客观实际，未做出实质性响应或明显不符合市场客观实际的投标文件将被否决。</w:t>
      </w:r>
    </w:p>
    <w:p>
      <w:pPr>
        <w:pStyle w:val="6"/>
        <w:bidi w:val="0"/>
        <w:rPr>
          <w:rFonts w:hint="eastAsia"/>
        </w:rPr>
      </w:pPr>
      <w:r>
        <w:rPr>
          <w:rFonts w:hint="eastAsia"/>
        </w:rPr>
        <w:t>十、投标文件的评议</w:t>
      </w:r>
    </w:p>
    <w:p>
      <w:pPr>
        <w:bidi w:val="0"/>
        <w:rPr>
          <w:rFonts w:hint="eastAsia"/>
        </w:rPr>
      </w:pPr>
      <w:r>
        <w:rPr>
          <w:rFonts w:hint="eastAsia"/>
          <w:lang w:val="en-US" w:eastAsia="zh-CN"/>
        </w:rPr>
        <w:t>1.</w:t>
      </w:r>
      <w:r>
        <w:rPr>
          <w:rFonts w:hint="eastAsia"/>
        </w:rPr>
        <w:t>招标方对实质响应的投标文件进行评标。</w:t>
      </w:r>
    </w:p>
    <w:p>
      <w:pPr>
        <w:bidi w:val="0"/>
        <w:rPr>
          <w:rFonts w:hint="eastAsia"/>
        </w:rPr>
      </w:pPr>
      <w:r>
        <w:rPr>
          <w:rFonts w:hint="eastAsia"/>
          <w:lang w:val="en-US" w:eastAsia="zh-CN"/>
        </w:rPr>
        <w:t>2.</w:t>
      </w:r>
      <w:r>
        <w:rPr>
          <w:rFonts w:hint="eastAsia"/>
        </w:rPr>
        <w:t>招标方在评标时除考虑投标价格、方案外，还将考虑项目后期操作、管理</w:t>
      </w:r>
      <w:r>
        <w:rPr>
          <w:rFonts w:hint="eastAsia"/>
          <w:lang w:eastAsia="zh-CN"/>
        </w:rPr>
        <w:t>、服务时效</w:t>
      </w:r>
      <w:r>
        <w:rPr>
          <w:rFonts w:hint="eastAsia"/>
        </w:rPr>
        <w:t>。</w:t>
      </w:r>
    </w:p>
    <w:p>
      <w:pPr>
        <w:bidi w:val="0"/>
        <w:rPr>
          <w:rFonts w:hint="eastAsia"/>
        </w:rPr>
      </w:pPr>
      <w:r>
        <w:rPr>
          <w:rFonts w:hint="eastAsia"/>
          <w:lang w:val="en-US" w:eastAsia="zh-CN"/>
        </w:rPr>
        <w:t>3.</w:t>
      </w:r>
      <w:r>
        <w:rPr>
          <w:rFonts w:hint="eastAsia"/>
        </w:rPr>
        <w:t>中标单位的确定是根据报价、方案、服务、投标方的信誉、业绩、资金、技术以及其它各方面因素经综合评审作为评定的结果。</w:t>
      </w:r>
    </w:p>
    <w:p>
      <w:pPr>
        <w:bidi w:val="0"/>
        <w:rPr>
          <w:rFonts w:hint="eastAsia"/>
        </w:rPr>
      </w:pPr>
      <w:r>
        <w:rPr>
          <w:rFonts w:hint="eastAsia"/>
          <w:lang w:val="en-US" w:eastAsia="zh-CN"/>
        </w:rPr>
        <w:t>4.</w:t>
      </w:r>
      <w:r>
        <w:rPr>
          <w:rFonts w:hint="eastAsia"/>
        </w:rPr>
        <w:t>评标方法采用综合评价法。根据报价、方案、业绩、资金</w:t>
      </w:r>
      <w:r>
        <w:rPr>
          <w:rFonts w:hint="eastAsia"/>
          <w:lang w:eastAsia="zh-CN"/>
        </w:rPr>
        <w:t>、服务</w:t>
      </w:r>
      <w:r>
        <w:rPr>
          <w:rFonts w:hint="eastAsia"/>
        </w:rPr>
        <w:t>的评议情况进行综合评审后推荐中标单位。</w:t>
      </w:r>
    </w:p>
    <w:p>
      <w:pPr>
        <w:pStyle w:val="6"/>
        <w:bidi w:val="0"/>
        <w:rPr>
          <w:rFonts w:hint="eastAsia"/>
        </w:rPr>
      </w:pPr>
      <w:r>
        <w:rPr>
          <w:rFonts w:hint="eastAsia"/>
        </w:rPr>
        <w:t>十</w:t>
      </w:r>
      <w:r>
        <w:rPr>
          <w:rFonts w:hint="eastAsia"/>
          <w:lang w:val="en-US" w:eastAsia="zh-CN"/>
        </w:rPr>
        <w:t>一</w:t>
      </w:r>
      <w:r>
        <w:rPr>
          <w:rFonts w:hint="eastAsia"/>
        </w:rPr>
        <w:t>、合同签订</w:t>
      </w:r>
    </w:p>
    <w:p>
      <w:pPr>
        <w:bidi w:val="0"/>
        <w:rPr>
          <w:rFonts w:hint="eastAsia" w:ascii="宋体" w:hAnsi="宋体" w:eastAsia="宋体" w:cs="宋体"/>
          <w:szCs w:val="24"/>
        </w:rPr>
      </w:pPr>
      <w:r>
        <w:rPr>
          <w:rFonts w:hint="eastAsia"/>
        </w:rPr>
        <w:t>中标单位确定后，投标方必须在规定的时间内，及时与招标方签订合同，否则按自动弃权处理。</w:t>
      </w:r>
    </w:p>
    <w:p>
      <w:pPr>
        <w:pStyle w:val="21"/>
        <w:autoSpaceDE w:val="0"/>
        <w:autoSpaceDN w:val="0"/>
        <w:adjustRightInd w:val="0"/>
        <w:spacing w:line="360" w:lineRule="auto"/>
        <w:ind w:left="-432" w:leftChars="-135" w:right="-563" w:rightChars="-176" w:firstLine="480"/>
        <w:jc w:val="left"/>
        <w:textAlignment w:val="baseline"/>
        <w:rPr>
          <w:rFonts w:hint="eastAsia" w:ascii="宋体" w:hAnsi="宋体" w:eastAsia="宋体" w:cs="宋体"/>
          <w:snapToGrid w:val="0"/>
          <w:kern w:val="0"/>
          <w:sz w:val="24"/>
          <w:szCs w:val="24"/>
          <w:lang w:bidi="ar"/>
        </w:rPr>
      </w:pPr>
    </w:p>
    <w:p>
      <w:pPr>
        <w:pStyle w:val="21"/>
        <w:autoSpaceDE w:val="0"/>
        <w:autoSpaceDN w:val="0"/>
        <w:adjustRightInd w:val="0"/>
        <w:spacing w:line="360" w:lineRule="auto"/>
        <w:ind w:left="-432" w:leftChars="-135" w:right="-563" w:rightChars="-176" w:firstLine="480"/>
        <w:jc w:val="left"/>
        <w:textAlignment w:val="baseline"/>
        <w:rPr>
          <w:rFonts w:hint="eastAsia" w:ascii="宋体" w:hAnsi="宋体" w:eastAsia="宋体" w:cs="宋体"/>
          <w:snapToGrid w:val="0"/>
          <w:kern w:val="0"/>
          <w:sz w:val="24"/>
          <w:szCs w:val="24"/>
          <w:lang w:bidi="ar"/>
        </w:rPr>
      </w:pPr>
    </w:p>
    <w:p>
      <w:pPr>
        <w:bidi w:val="0"/>
        <w:ind w:firstLine="5440" w:firstLineChars="1700"/>
        <w:rPr>
          <w:rFonts w:hint="eastAsia" w:ascii="宋体" w:hAnsi="宋体" w:eastAsia="宋体" w:cs="宋体"/>
          <w:b/>
          <w:bCs/>
          <w:snapToGrid w:val="0"/>
          <w:kern w:val="0"/>
          <w:sz w:val="24"/>
          <w:szCs w:val="24"/>
          <w:highlight w:val="none"/>
          <w:lang w:bidi="ar"/>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30</w:t>
      </w:r>
      <w:r>
        <w:rPr>
          <w:rFonts w:hint="eastAsia"/>
          <w:highlight w:val="none"/>
        </w:rPr>
        <w:t>日</w:t>
      </w:r>
    </w:p>
    <w:p>
      <w:pPr>
        <w:rPr>
          <w:rFonts w:hint="eastAsia"/>
        </w:rPr>
      </w:pPr>
      <w:r>
        <w:rPr>
          <w:rFonts w:hint="eastAsia"/>
        </w:rPr>
        <w:br w:type="page"/>
      </w:r>
    </w:p>
    <w:p>
      <w:pPr>
        <w:pStyle w:val="5"/>
        <w:bidi w:val="0"/>
        <w:rPr>
          <w:rFonts w:hint="eastAsia"/>
        </w:rPr>
      </w:pPr>
      <w:r>
        <w:rPr>
          <w:rFonts w:hint="eastAsia"/>
        </w:rPr>
        <w:t>投标文件目录</w:t>
      </w:r>
    </w:p>
    <w:p>
      <w:pPr>
        <w:widowControl/>
        <w:spacing w:line="360" w:lineRule="auto"/>
        <w:jc w:val="center"/>
        <w:rPr>
          <w:rFonts w:hint="eastAsia" w:ascii="宋体" w:hAnsi="宋体" w:eastAsia="宋体" w:cs="宋体"/>
          <w:b/>
          <w:bCs/>
          <w:snapToGrid w:val="0"/>
          <w:kern w:val="0"/>
          <w:sz w:val="24"/>
          <w:szCs w:val="24"/>
          <w:lang w:bidi="ar"/>
        </w:rPr>
      </w:pPr>
    </w:p>
    <w:p>
      <w:pPr>
        <w:bidi w:val="0"/>
        <w:rPr>
          <w:rFonts w:hint="eastAsia"/>
        </w:rPr>
      </w:pPr>
      <w:r>
        <w:rPr>
          <w:rFonts w:hint="eastAsia"/>
        </w:rPr>
        <w:t>一、法定代表人身份证明</w:t>
      </w:r>
    </w:p>
    <w:p>
      <w:pPr>
        <w:bidi w:val="0"/>
        <w:rPr>
          <w:rFonts w:hint="eastAsia"/>
        </w:rPr>
      </w:pPr>
      <w:r>
        <w:rPr>
          <w:rFonts w:hint="eastAsia"/>
        </w:rPr>
        <w:t>二、法定代表人授权委托书</w:t>
      </w:r>
    </w:p>
    <w:p>
      <w:pPr>
        <w:bidi w:val="0"/>
        <w:rPr>
          <w:rFonts w:hint="eastAsia"/>
          <w:lang w:val="en-US" w:eastAsia="zh-CN"/>
        </w:rPr>
      </w:pPr>
      <w:r>
        <w:rPr>
          <w:rFonts w:hint="eastAsia"/>
        </w:rPr>
        <w:t>三、</w:t>
      </w:r>
      <w:r>
        <w:rPr>
          <w:rFonts w:hint="eastAsia"/>
          <w:lang w:val="en-US" w:eastAsia="zh-CN"/>
        </w:rPr>
        <w:t>营业执照复印件</w:t>
      </w:r>
    </w:p>
    <w:p>
      <w:pPr>
        <w:bidi w:val="0"/>
        <w:rPr>
          <w:rFonts w:hint="eastAsia"/>
        </w:rPr>
      </w:pPr>
      <w:r>
        <w:rPr>
          <w:rFonts w:hint="eastAsia"/>
          <w:lang w:val="en-US" w:eastAsia="zh-CN"/>
        </w:rPr>
        <w:t>四、</w:t>
      </w:r>
      <w:r>
        <w:rPr>
          <w:rFonts w:hint="eastAsia"/>
        </w:rPr>
        <w:t>投标单位基本情况</w:t>
      </w:r>
    </w:p>
    <w:p>
      <w:pPr>
        <w:bidi w:val="0"/>
        <w:rPr>
          <w:rFonts w:hint="eastAsia"/>
          <w:lang w:val="en-US" w:eastAsia="zh-CN"/>
        </w:rPr>
      </w:pPr>
      <w:r>
        <w:rPr>
          <w:rFonts w:hint="eastAsia"/>
          <w:lang w:val="en-US" w:eastAsia="zh-CN"/>
        </w:rPr>
        <w:t>五、审计报告复印件和资信证明</w:t>
      </w:r>
    </w:p>
    <w:p>
      <w:pPr>
        <w:bidi w:val="0"/>
        <w:rPr>
          <w:rFonts w:hint="eastAsia"/>
          <w:lang w:val="en-US" w:eastAsia="zh-CN"/>
        </w:rPr>
      </w:pPr>
      <w:r>
        <w:rPr>
          <w:rFonts w:hint="eastAsia"/>
          <w:lang w:val="en-US" w:eastAsia="zh-CN"/>
        </w:rPr>
        <w:t>六、近6个月中任意3个月缴纳税收和社保的证明文件</w:t>
      </w:r>
    </w:p>
    <w:p>
      <w:pPr>
        <w:bidi w:val="0"/>
        <w:ind w:left="1280" w:leftChars="200" w:hanging="640" w:hangingChars="200"/>
        <w:rPr>
          <w:rFonts w:hint="eastAsia"/>
          <w:lang w:val="en-US" w:eastAsia="zh-CN"/>
        </w:rPr>
      </w:pPr>
      <w:r>
        <w:rPr>
          <w:rFonts w:hint="eastAsia"/>
          <w:lang w:val="en-US" w:eastAsia="zh-CN"/>
        </w:rPr>
        <w:t>七、参加政府采购活动前3年内在经营活动中没有重大违法记录的书面声明</w:t>
      </w:r>
    </w:p>
    <w:p>
      <w:pPr>
        <w:bidi w:val="0"/>
        <w:ind w:left="1280" w:leftChars="200" w:hanging="640" w:hangingChars="200"/>
        <w:rPr>
          <w:rFonts w:hint="eastAsia"/>
          <w:lang w:val="en-US" w:eastAsia="zh-CN"/>
        </w:rPr>
      </w:pPr>
      <w:r>
        <w:rPr>
          <w:rFonts w:hint="eastAsia"/>
          <w:lang w:val="en-US" w:eastAsia="zh-CN"/>
        </w:rPr>
        <w:t>八、近3年内“信用中国”网站、“中国政府采购网”网站查询截图</w:t>
      </w:r>
    </w:p>
    <w:p>
      <w:pPr>
        <w:bidi w:val="0"/>
        <w:rPr>
          <w:rFonts w:hint="eastAsia"/>
        </w:rPr>
      </w:pPr>
      <w:r>
        <w:rPr>
          <w:rFonts w:hint="eastAsia"/>
          <w:lang w:val="en-US" w:eastAsia="zh-CN"/>
        </w:rPr>
        <w:t>九、</w:t>
      </w:r>
      <w:r>
        <w:rPr>
          <w:rFonts w:hint="eastAsia"/>
        </w:rPr>
        <w:t>投标方</w:t>
      </w:r>
      <w:r>
        <w:rPr>
          <w:rFonts w:hint="eastAsia"/>
          <w:lang w:val="en-US" w:eastAsia="zh-CN"/>
        </w:rPr>
        <w:t>提供近三年的不少于6个同类</w:t>
      </w:r>
      <w:r>
        <w:rPr>
          <w:rFonts w:hint="eastAsia"/>
        </w:rPr>
        <w:t>型</w:t>
      </w:r>
      <w:r>
        <w:rPr>
          <w:rFonts w:hint="eastAsia"/>
          <w:lang w:val="en-US" w:eastAsia="zh-CN"/>
        </w:rPr>
        <w:t>及同规模</w:t>
      </w:r>
      <w:r>
        <w:rPr>
          <w:rFonts w:hint="eastAsia"/>
        </w:rPr>
        <w:t>业绩清单</w:t>
      </w:r>
    </w:p>
    <w:p>
      <w:pPr>
        <w:bidi w:val="0"/>
        <w:ind w:firstLine="1280" w:firstLineChars="400"/>
        <w:rPr>
          <w:rFonts w:hint="eastAsia"/>
        </w:rPr>
      </w:pPr>
      <w:r>
        <w:rPr>
          <w:rFonts w:hint="eastAsia"/>
        </w:rPr>
        <w:t>（含合作单位名称、签订合同）</w:t>
      </w:r>
    </w:p>
    <w:p>
      <w:pPr>
        <w:bidi w:val="0"/>
        <w:rPr>
          <w:rFonts w:hint="eastAsia"/>
        </w:rPr>
      </w:pPr>
      <w:r>
        <w:rPr>
          <w:rFonts w:hint="eastAsia"/>
          <w:lang w:val="en-US" w:eastAsia="zh-CN"/>
        </w:rPr>
        <w:t>十</w:t>
      </w:r>
      <w:r>
        <w:rPr>
          <w:rFonts w:hint="eastAsia"/>
        </w:rPr>
        <w:t>、投标报价及方案</w:t>
      </w:r>
    </w:p>
    <w:p>
      <w:pPr>
        <w:bidi w:val="0"/>
        <w:rPr>
          <w:rFonts w:hint="eastAsia"/>
          <w:lang w:val="en-US" w:eastAsia="zh-CN"/>
        </w:rPr>
      </w:pPr>
      <w:r>
        <w:rPr>
          <w:rFonts w:hint="eastAsia"/>
          <w:lang w:val="en-US" w:eastAsia="zh-CN"/>
        </w:rPr>
        <w:t>十一</w:t>
      </w:r>
      <w:r>
        <w:rPr>
          <w:rFonts w:hint="eastAsia"/>
        </w:rPr>
        <w:t>、投标承诺书</w:t>
      </w:r>
    </w:p>
    <w:p>
      <w:pPr>
        <w:pStyle w:val="2"/>
        <w:spacing w:line="360" w:lineRule="auto"/>
        <w:rPr>
          <w:rFonts w:hint="eastAsia" w:ascii="宋体" w:hAnsi="宋体" w:eastAsia="宋体" w:cs="宋体"/>
          <w:sz w:val="24"/>
          <w:szCs w:val="24"/>
          <w:lang w:val="en-US" w:eastAsia="zh-CN"/>
        </w:rPr>
      </w:pPr>
    </w:p>
    <w:p>
      <w:pPr>
        <w:pStyle w:val="3"/>
        <w:spacing w:line="360" w:lineRule="auto"/>
        <w:rPr>
          <w:rFonts w:hint="eastAsia" w:ascii="宋体" w:hAnsi="宋体" w:eastAsia="宋体" w:cs="宋体"/>
          <w:sz w:val="24"/>
          <w:szCs w:val="24"/>
          <w:lang w:val="en-US" w:eastAsia="zh-CN"/>
        </w:rPr>
      </w:pPr>
    </w:p>
    <w:p>
      <w:pPr>
        <w:widowControl/>
        <w:spacing w:line="360" w:lineRule="auto"/>
        <w:rPr>
          <w:rFonts w:hint="eastAsia" w:ascii="宋体" w:hAnsi="宋体" w:eastAsia="宋体" w:cs="宋体"/>
          <w:snapToGrid w:val="0"/>
          <w:color w:val="000000"/>
          <w:kern w:val="0"/>
          <w:sz w:val="24"/>
          <w:szCs w:val="24"/>
          <w:lang w:bidi="ar"/>
        </w:rPr>
      </w:pPr>
    </w:p>
    <w:p>
      <w:pPr>
        <w:pStyle w:val="2"/>
        <w:rPr>
          <w:rFonts w:hint="eastAsia" w:ascii="宋体" w:hAnsi="宋体" w:eastAsia="宋体" w:cs="宋体"/>
          <w:snapToGrid w:val="0"/>
          <w:color w:val="000000"/>
          <w:kern w:val="0"/>
          <w:sz w:val="24"/>
          <w:szCs w:val="24"/>
          <w:lang w:bidi="ar"/>
        </w:rPr>
      </w:pPr>
    </w:p>
    <w:p>
      <w:pPr>
        <w:pStyle w:val="3"/>
        <w:rPr>
          <w:rFonts w:hint="eastAsia" w:ascii="宋体" w:hAnsi="宋体" w:eastAsia="宋体" w:cs="宋体"/>
          <w:snapToGrid w:val="0"/>
          <w:color w:val="000000"/>
          <w:kern w:val="0"/>
          <w:sz w:val="24"/>
          <w:szCs w:val="24"/>
          <w:lang w:bidi="ar"/>
        </w:rPr>
      </w:pPr>
    </w:p>
    <w:p>
      <w:pPr>
        <w:pStyle w:val="2"/>
        <w:ind w:left="0" w:leftChars="0" w:firstLine="0" w:firstLineChars="0"/>
        <w:rPr>
          <w:rFonts w:hint="eastAsia" w:ascii="宋体" w:hAnsi="宋体" w:eastAsia="宋体" w:cs="宋体"/>
          <w:snapToGrid w:val="0"/>
          <w:color w:val="000000"/>
          <w:kern w:val="0"/>
          <w:sz w:val="24"/>
          <w:szCs w:val="24"/>
          <w:lang w:bidi="ar"/>
        </w:rPr>
      </w:pPr>
    </w:p>
    <w:p>
      <w:pPr>
        <w:ind w:left="0" w:leftChars="0" w:firstLine="0" w:firstLineChars="0"/>
        <w:rPr>
          <w:rFonts w:hint="eastAsia"/>
        </w:rPr>
      </w:pPr>
    </w:p>
    <w:p>
      <w:pPr>
        <w:bidi w:val="0"/>
        <w:ind w:left="0" w:leftChars="0" w:firstLine="0" w:firstLineChars="0"/>
        <w:jc w:val="center"/>
        <w:rPr>
          <w:rFonts w:hint="eastAsia" w:ascii="宋体" w:hAnsi="宋体" w:eastAsia="宋体" w:cs="宋体"/>
          <w:b/>
          <w:bCs/>
          <w:szCs w:val="24"/>
        </w:rPr>
      </w:pPr>
      <w:r>
        <w:rPr>
          <w:rFonts w:hint="eastAsia"/>
          <w:b/>
          <w:bCs/>
        </w:rPr>
        <w:t>法定代表人证明书</w:t>
      </w:r>
    </w:p>
    <w:p>
      <w:pPr>
        <w:spacing w:line="360" w:lineRule="auto"/>
        <w:ind w:firstLine="482" w:firstLineChars="200"/>
        <w:jc w:val="center"/>
        <w:rPr>
          <w:rFonts w:hint="eastAsia" w:ascii="宋体" w:hAnsi="宋体" w:eastAsia="宋体" w:cs="宋体"/>
          <w:b/>
          <w:bCs/>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单位名称：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地址：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岁 职务：</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的法定代表人。为</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年度</w:t>
      </w:r>
      <w:r>
        <w:rPr>
          <w:rFonts w:hint="eastAsia" w:ascii="宋体" w:hAnsi="宋体" w:eastAsia="宋体" w:cs="宋体"/>
          <w:sz w:val="24"/>
          <w:szCs w:val="24"/>
          <w:u w:val="single"/>
          <w:lang w:val="en-US" w:eastAsia="zh-CN"/>
        </w:rPr>
        <w:t>消防维保委托</w:t>
      </w:r>
      <w:r>
        <w:rPr>
          <w:rFonts w:hint="eastAsia" w:ascii="宋体" w:hAnsi="宋体" w:eastAsia="宋体" w:cs="宋体"/>
          <w:sz w:val="24"/>
          <w:szCs w:val="24"/>
          <w:u w:val="single"/>
        </w:rPr>
        <w:t>服务</w:t>
      </w:r>
      <w:r>
        <w:rPr>
          <w:rFonts w:hint="eastAsia" w:ascii="宋体" w:hAnsi="宋体" w:eastAsia="宋体" w:cs="宋体"/>
          <w:sz w:val="24"/>
          <w:szCs w:val="24"/>
        </w:rPr>
        <w:t>投标项目，签署上述项目的投标文件、进行合同谈判、签署合同和处理与之有关的一切事务。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                  （签字或盖章）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（法定代表人正反面身份证复印件粘贴处）</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ind w:left="0" w:leftChars="0" w:firstLine="0" w:firstLineChars="0"/>
        <w:jc w:val="both"/>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bidi w:val="0"/>
        <w:ind w:left="0" w:leftChars="0" w:firstLine="0" w:firstLineChars="0"/>
        <w:jc w:val="center"/>
        <w:rPr>
          <w:rFonts w:hint="eastAsia"/>
          <w:b/>
          <w:bCs/>
        </w:rPr>
      </w:pPr>
    </w:p>
    <w:p>
      <w:pPr>
        <w:bidi w:val="0"/>
        <w:ind w:left="0" w:leftChars="0" w:firstLine="0" w:firstLineChars="0"/>
        <w:jc w:val="center"/>
        <w:rPr>
          <w:rFonts w:hint="eastAsia"/>
          <w:b/>
          <w:bCs/>
        </w:rPr>
      </w:pPr>
    </w:p>
    <w:p>
      <w:pPr>
        <w:bidi w:val="0"/>
        <w:ind w:left="0" w:leftChars="0" w:firstLine="0" w:firstLineChars="0"/>
        <w:jc w:val="center"/>
        <w:rPr>
          <w:rFonts w:hint="eastAsia"/>
          <w:b/>
          <w:bCs/>
        </w:rPr>
      </w:pPr>
    </w:p>
    <w:p>
      <w:pPr>
        <w:bidi w:val="0"/>
        <w:ind w:left="0" w:leftChars="0" w:firstLine="0" w:firstLineChars="0"/>
        <w:jc w:val="center"/>
        <w:rPr>
          <w:rFonts w:hint="eastAsia"/>
        </w:rPr>
      </w:pPr>
      <w:r>
        <w:rPr>
          <w:rFonts w:hint="eastAsia"/>
          <w:b/>
          <w:bCs/>
        </w:rPr>
        <w:t>法定代表授权委托书</w:t>
      </w:r>
    </w:p>
    <w:p>
      <w:pPr>
        <w:spacing w:line="360" w:lineRule="auto"/>
        <w:rPr>
          <w:rFonts w:hint="eastAsia" w:ascii="宋体" w:hAnsi="宋体" w:eastAsia="宋体" w:cs="宋体"/>
          <w:sz w:val="24"/>
          <w:szCs w:val="24"/>
        </w:rPr>
      </w:pPr>
      <w:r>
        <w:rPr>
          <w:rFonts w:hint="eastAsia" w:ascii="宋体" w:hAnsi="宋体" w:eastAsia="宋体" w:cs="宋体"/>
          <w:sz w:val="24"/>
          <w:szCs w:val="24"/>
        </w:rPr>
        <w:t>致：</w:t>
      </w:r>
    </w:p>
    <w:p>
      <w:pPr>
        <w:spacing w:line="360" w:lineRule="auto"/>
        <w:rPr>
          <w:rFonts w:hint="eastAsia" w:ascii="宋体" w:hAnsi="宋体" w:eastAsia="宋体" w:cs="宋体"/>
          <w:sz w:val="24"/>
          <w:szCs w:val="24"/>
        </w:rPr>
      </w:pPr>
      <w:r>
        <w:rPr>
          <w:rFonts w:hint="eastAsia" w:ascii="宋体" w:hAnsi="宋体" w:eastAsia="宋体" w:cs="宋体"/>
          <w:sz w:val="24"/>
          <w:szCs w:val="24"/>
        </w:rPr>
        <w:t>本授权委托书声明：我      （姓名）系                的法定代表人，现授权委托                   的        （姓名）为我公司代理人，身份证号码                        ，代表本公司参加               的投标活动。代理人在开标、评标、合同谈判过程中所签署的一切文件和处理与之有关的一切事务，本公司均予以承认。</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委托期限：    年   月    日至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代表人无权转委托，特此委托。</w:t>
      </w:r>
    </w:p>
    <w:p>
      <w:pPr>
        <w:spacing w:line="360" w:lineRule="auto"/>
        <w:rPr>
          <w:rFonts w:hint="eastAsia" w:ascii="宋体" w:hAnsi="宋体" w:eastAsia="宋体" w:cs="宋体"/>
          <w:sz w:val="24"/>
          <w:szCs w:val="24"/>
        </w:rPr>
      </w:pPr>
      <w:r>
        <w:rPr>
          <w:rFonts w:hint="eastAsia" w:ascii="宋体" w:hAnsi="宋体" w:eastAsia="宋体" w:cs="宋体"/>
          <w:sz w:val="24"/>
          <w:szCs w:val="24"/>
        </w:rPr>
        <w:t>（附法定代表人身份证明及被授权人身份证复印件）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      （盖单位章）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（委托代理人正反面身份证复印件粘贴处）</w:t>
      </w:r>
    </w:p>
    <w:p>
      <w:pPr>
        <w:spacing w:line="360" w:lineRule="auto"/>
        <w:rPr>
          <w:rFonts w:hint="eastAsia" w:ascii="宋体" w:hAnsi="宋体" w:eastAsia="宋体" w:cs="宋体"/>
          <w:sz w:val="24"/>
          <w:szCs w:val="24"/>
          <w:u w:val="single"/>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auto"/>
        <w:ind w:left="0" w:leftChars="0" w:firstLine="0" w:firstLineChars="0"/>
        <w:jc w:val="both"/>
        <w:rPr>
          <w:rFonts w:hint="eastAsia" w:ascii="宋体" w:hAnsi="宋体" w:eastAsia="宋体" w:cs="宋体"/>
          <w:sz w:val="24"/>
          <w:szCs w:val="24"/>
        </w:rPr>
      </w:pPr>
    </w:p>
    <w:p>
      <w:pPr>
        <w:bidi w:val="0"/>
        <w:ind w:left="0" w:leftChars="0" w:firstLine="0" w:firstLineChars="0"/>
        <w:jc w:val="center"/>
        <w:rPr>
          <w:rFonts w:hint="eastAsia"/>
          <w:b/>
          <w:bCs/>
        </w:rPr>
      </w:pPr>
    </w:p>
    <w:p>
      <w:pPr>
        <w:bidi w:val="0"/>
        <w:ind w:left="0" w:leftChars="0" w:firstLine="0" w:firstLineChars="0"/>
        <w:jc w:val="center"/>
        <w:rPr>
          <w:rFonts w:hint="eastAsia"/>
          <w:b/>
          <w:bCs/>
        </w:rPr>
      </w:pPr>
    </w:p>
    <w:p>
      <w:pPr>
        <w:bidi w:val="0"/>
        <w:ind w:left="0" w:leftChars="0" w:firstLine="0" w:firstLineChars="0"/>
        <w:jc w:val="center"/>
        <w:rPr>
          <w:rFonts w:hint="eastAsia"/>
          <w:b/>
          <w:bCs/>
        </w:rPr>
      </w:pPr>
    </w:p>
    <w:p>
      <w:pPr>
        <w:bidi w:val="0"/>
        <w:ind w:left="0" w:leftChars="0" w:firstLine="0" w:firstLineChars="0"/>
        <w:jc w:val="center"/>
        <w:rPr>
          <w:rFonts w:hint="eastAsia"/>
          <w:b/>
          <w:bCs/>
        </w:rPr>
      </w:pPr>
      <w:r>
        <w:rPr>
          <w:rFonts w:hint="eastAsia"/>
          <w:b/>
          <w:bCs/>
        </w:rPr>
        <w:t>投标单位基本情况表</w:t>
      </w:r>
    </w:p>
    <w:p>
      <w:pPr>
        <w:spacing w:line="360" w:lineRule="auto"/>
        <w:jc w:val="left"/>
        <w:rPr>
          <w:rFonts w:hint="eastAsia" w:ascii="宋体" w:hAnsi="宋体" w:eastAsia="宋体" w:cs="宋体"/>
          <w:sz w:val="24"/>
          <w:szCs w:val="24"/>
        </w:rPr>
      </w:pPr>
    </w:p>
    <w:tbl>
      <w:tblPr>
        <w:tblStyle w:val="1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55"/>
        <w:gridCol w:w="1053"/>
        <w:gridCol w:w="1358"/>
        <w:gridCol w:w="1357"/>
        <w:gridCol w:w="116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企业名称</w:t>
            </w:r>
          </w:p>
        </w:tc>
        <w:tc>
          <w:tcPr>
            <w:tcW w:w="7288" w:type="dxa"/>
            <w:gridSpan w:val="6"/>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466" w:type="dxa"/>
            <w:gridSpan w:val="3"/>
            <w:vAlign w:val="center"/>
          </w:tcPr>
          <w:p>
            <w:pPr>
              <w:spacing w:line="360" w:lineRule="auto"/>
              <w:jc w:val="center"/>
              <w:rPr>
                <w:rFonts w:hint="eastAsia" w:ascii="宋体" w:hAnsi="宋体" w:eastAsia="宋体" w:cs="宋体"/>
                <w:kern w:val="0"/>
                <w:sz w:val="24"/>
                <w:szCs w:val="24"/>
              </w:rPr>
            </w:pPr>
          </w:p>
        </w:tc>
        <w:tc>
          <w:tcPr>
            <w:tcW w:w="1357"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465" w:type="dxa"/>
            <w:gridSpan w:val="2"/>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Merge w:val="restart"/>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1055"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2411" w:type="dxa"/>
            <w:gridSpan w:val="2"/>
            <w:vAlign w:val="center"/>
          </w:tcPr>
          <w:p>
            <w:pPr>
              <w:spacing w:line="360" w:lineRule="auto"/>
              <w:jc w:val="center"/>
              <w:rPr>
                <w:rFonts w:hint="eastAsia" w:ascii="宋体" w:hAnsi="宋体" w:eastAsia="宋体" w:cs="宋体"/>
                <w:kern w:val="0"/>
                <w:sz w:val="24"/>
                <w:szCs w:val="24"/>
              </w:rPr>
            </w:pPr>
          </w:p>
        </w:tc>
        <w:tc>
          <w:tcPr>
            <w:tcW w:w="1357"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5" w:type="dxa"/>
            <w:gridSpan w:val="2"/>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Merge w:val="continue"/>
            <w:vAlign w:val="center"/>
          </w:tcPr>
          <w:p>
            <w:pPr>
              <w:spacing w:line="360" w:lineRule="auto"/>
              <w:jc w:val="center"/>
              <w:rPr>
                <w:rFonts w:hint="eastAsia" w:ascii="宋体" w:hAnsi="宋体" w:eastAsia="宋体" w:cs="宋体"/>
                <w:kern w:val="0"/>
                <w:sz w:val="24"/>
                <w:szCs w:val="24"/>
              </w:rPr>
            </w:pPr>
          </w:p>
        </w:tc>
        <w:tc>
          <w:tcPr>
            <w:tcW w:w="1055"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传真</w:t>
            </w:r>
          </w:p>
        </w:tc>
        <w:tc>
          <w:tcPr>
            <w:tcW w:w="2411" w:type="dxa"/>
            <w:gridSpan w:val="2"/>
            <w:vAlign w:val="center"/>
          </w:tcPr>
          <w:p>
            <w:pPr>
              <w:spacing w:line="360" w:lineRule="auto"/>
              <w:jc w:val="center"/>
              <w:rPr>
                <w:rFonts w:hint="eastAsia" w:ascii="宋体" w:hAnsi="宋体" w:eastAsia="宋体" w:cs="宋体"/>
                <w:kern w:val="0"/>
                <w:sz w:val="24"/>
                <w:szCs w:val="24"/>
              </w:rPr>
            </w:pPr>
          </w:p>
        </w:tc>
        <w:tc>
          <w:tcPr>
            <w:tcW w:w="1357"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465" w:type="dxa"/>
            <w:gridSpan w:val="2"/>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288" w:type="dxa"/>
            <w:gridSpan w:val="6"/>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055"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53" w:type="dxa"/>
            <w:vAlign w:val="center"/>
          </w:tcPr>
          <w:p>
            <w:pPr>
              <w:spacing w:line="360" w:lineRule="auto"/>
              <w:jc w:val="center"/>
              <w:rPr>
                <w:rFonts w:hint="eastAsia" w:ascii="宋体" w:hAnsi="宋体" w:eastAsia="宋体" w:cs="宋体"/>
                <w:kern w:val="0"/>
                <w:sz w:val="24"/>
                <w:szCs w:val="24"/>
              </w:rPr>
            </w:pPr>
          </w:p>
        </w:tc>
        <w:tc>
          <w:tcPr>
            <w:tcW w:w="1358"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57" w:type="dxa"/>
            <w:vAlign w:val="center"/>
          </w:tcPr>
          <w:p>
            <w:pPr>
              <w:spacing w:line="360" w:lineRule="auto"/>
              <w:jc w:val="center"/>
              <w:rPr>
                <w:rFonts w:hint="eastAsia" w:ascii="宋体" w:hAnsi="宋体" w:eastAsia="宋体" w:cs="宋体"/>
                <w:kern w:val="0"/>
                <w:sz w:val="24"/>
                <w:szCs w:val="24"/>
              </w:rPr>
            </w:pPr>
          </w:p>
        </w:tc>
        <w:tc>
          <w:tcPr>
            <w:tcW w:w="1169"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96" w:type="dxa"/>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055"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53" w:type="dxa"/>
            <w:vAlign w:val="center"/>
          </w:tcPr>
          <w:p>
            <w:pPr>
              <w:spacing w:line="360" w:lineRule="auto"/>
              <w:jc w:val="center"/>
              <w:rPr>
                <w:rFonts w:hint="eastAsia" w:ascii="宋体" w:hAnsi="宋体" w:eastAsia="宋体" w:cs="宋体"/>
                <w:kern w:val="0"/>
                <w:sz w:val="24"/>
                <w:szCs w:val="24"/>
              </w:rPr>
            </w:pPr>
          </w:p>
        </w:tc>
        <w:tc>
          <w:tcPr>
            <w:tcW w:w="1358"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57" w:type="dxa"/>
            <w:vAlign w:val="center"/>
          </w:tcPr>
          <w:p>
            <w:pPr>
              <w:spacing w:line="360" w:lineRule="auto"/>
              <w:jc w:val="center"/>
              <w:rPr>
                <w:rFonts w:hint="eastAsia" w:ascii="宋体" w:hAnsi="宋体" w:eastAsia="宋体" w:cs="宋体"/>
                <w:kern w:val="0"/>
                <w:sz w:val="24"/>
                <w:szCs w:val="24"/>
              </w:rPr>
            </w:pPr>
          </w:p>
        </w:tc>
        <w:tc>
          <w:tcPr>
            <w:tcW w:w="1169"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96" w:type="dxa"/>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108" w:type="dxa"/>
            <w:gridSpan w:val="2"/>
            <w:vAlign w:val="center"/>
          </w:tcPr>
          <w:p>
            <w:pPr>
              <w:spacing w:line="360" w:lineRule="auto"/>
              <w:jc w:val="center"/>
              <w:rPr>
                <w:rFonts w:hint="eastAsia" w:ascii="宋体" w:hAnsi="宋体" w:eastAsia="宋体" w:cs="宋体"/>
                <w:kern w:val="0"/>
                <w:sz w:val="24"/>
                <w:szCs w:val="24"/>
              </w:rPr>
            </w:pPr>
          </w:p>
        </w:tc>
        <w:tc>
          <w:tcPr>
            <w:tcW w:w="5180" w:type="dxa"/>
            <w:gridSpan w:val="4"/>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2108" w:type="dxa"/>
            <w:gridSpan w:val="2"/>
            <w:vAlign w:val="center"/>
          </w:tcPr>
          <w:p>
            <w:pPr>
              <w:spacing w:line="360" w:lineRule="auto"/>
              <w:jc w:val="center"/>
              <w:rPr>
                <w:rFonts w:hint="eastAsia" w:ascii="宋体" w:hAnsi="宋体" w:eastAsia="宋体" w:cs="宋体"/>
                <w:kern w:val="0"/>
                <w:sz w:val="24"/>
                <w:szCs w:val="24"/>
              </w:rPr>
            </w:pPr>
          </w:p>
        </w:tc>
        <w:tc>
          <w:tcPr>
            <w:tcW w:w="1358" w:type="dxa"/>
            <w:vMerge w:val="restart"/>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2526" w:type="dxa"/>
            <w:gridSpan w:val="2"/>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tc>
        <w:tc>
          <w:tcPr>
            <w:tcW w:w="1296" w:type="dxa"/>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2108" w:type="dxa"/>
            <w:gridSpan w:val="2"/>
            <w:vAlign w:val="center"/>
          </w:tcPr>
          <w:p>
            <w:pPr>
              <w:spacing w:line="360" w:lineRule="auto"/>
              <w:jc w:val="center"/>
              <w:rPr>
                <w:rFonts w:hint="eastAsia" w:ascii="宋体" w:hAnsi="宋体" w:eastAsia="宋体" w:cs="宋体"/>
                <w:kern w:val="0"/>
                <w:sz w:val="24"/>
                <w:szCs w:val="24"/>
              </w:rPr>
            </w:pPr>
          </w:p>
        </w:tc>
        <w:tc>
          <w:tcPr>
            <w:tcW w:w="1358" w:type="dxa"/>
            <w:vMerge w:val="continue"/>
            <w:vAlign w:val="center"/>
          </w:tcPr>
          <w:p>
            <w:pPr>
              <w:spacing w:line="360" w:lineRule="auto"/>
              <w:jc w:val="center"/>
              <w:rPr>
                <w:rFonts w:hint="eastAsia" w:ascii="宋体" w:hAnsi="宋体" w:eastAsia="宋体" w:cs="宋体"/>
                <w:kern w:val="0"/>
                <w:sz w:val="24"/>
                <w:szCs w:val="24"/>
              </w:rPr>
            </w:pPr>
          </w:p>
        </w:tc>
        <w:tc>
          <w:tcPr>
            <w:tcW w:w="2526" w:type="dxa"/>
            <w:gridSpan w:val="2"/>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1296" w:type="dxa"/>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2108" w:type="dxa"/>
            <w:gridSpan w:val="2"/>
            <w:vAlign w:val="center"/>
          </w:tcPr>
          <w:p>
            <w:pPr>
              <w:spacing w:line="360" w:lineRule="auto"/>
              <w:jc w:val="center"/>
              <w:rPr>
                <w:rFonts w:hint="eastAsia" w:ascii="宋体" w:hAnsi="宋体" w:eastAsia="宋体" w:cs="宋体"/>
                <w:kern w:val="0"/>
                <w:sz w:val="24"/>
                <w:szCs w:val="24"/>
              </w:rPr>
            </w:pPr>
          </w:p>
        </w:tc>
        <w:tc>
          <w:tcPr>
            <w:tcW w:w="1358" w:type="dxa"/>
            <w:vMerge w:val="continue"/>
            <w:vAlign w:val="center"/>
          </w:tcPr>
          <w:p>
            <w:pPr>
              <w:spacing w:line="360" w:lineRule="auto"/>
              <w:jc w:val="center"/>
              <w:rPr>
                <w:rFonts w:hint="eastAsia" w:ascii="宋体" w:hAnsi="宋体" w:eastAsia="宋体" w:cs="宋体"/>
                <w:kern w:val="0"/>
                <w:sz w:val="24"/>
                <w:szCs w:val="24"/>
              </w:rPr>
            </w:pPr>
          </w:p>
        </w:tc>
        <w:tc>
          <w:tcPr>
            <w:tcW w:w="2526" w:type="dxa"/>
            <w:gridSpan w:val="2"/>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1296" w:type="dxa"/>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2108" w:type="dxa"/>
            <w:gridSpan w:val="2"/>
            <w:vAlign w:val="center"/>
          </w:tcPr>
          <w:p>
            <w:pPr>
              <w:spacing w:line="360" w:lineRule="auto"/>
              <w:jc w:val="center"/>
              <w:rPr>
                <w:rFonts w:hint="eastAsia" w:ascii="宋体" w:hAnsi="宋体" w:eastAsia="宋体" w:cs="宋体"/>
                <w:kern w:val="0"/>
                <w:sz w:val="24"/>
                <w:szCs w:val="24"/>
              </w:rPr>
            </w:pPr>
          </w:p>
        </w:tc>
        <w:tc>
          <w:tcPr>
            <w:tcW w:w="1358" w:type="dxa"/>
            <w:vMerge w:val="continue"/>
            <w:vAlign w:val="center"/>
          </w:tcPr>
          <w:p>
            <w:pPr>
              <w:spacing w:line="360" w:lineRule="auto"/>
              <w:jc w:val="center"/>
              <w:rPr>
                <w:rFonts w:hint="eastAsia" w:ascii="宋体" w:hAnsi="宋体" w:eastAsia="宋体" w:cs="宋体"/>
                <w:kern w:val="0"/>
                <w:sz w:val="24"/>
                <w:szCs w:val="24"/>
              </w:rPr>
            </w:pPr>
          </w:p>
        </w:tc>
        <w:tc>
          <w:tcPr>
            <w:tcW w:w="2526" w:type="dxa"/>
            <w:gridSpan w:val="2"/>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1296" w:type="dxa"/>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2108" w:type="dxa"/>
            <w:gridSpan w:val="2"/>
            <w:vAlign w:val="center"/>
          </w:tcPr>
          <w:p>
            <w:pPr>
              <w:spacing w:line="360" w:lineRule="auto"/>
              <w:jc w:val="center"/>
              <w:rPr>
                <w:rFonts w:hint="eastAsia" w:ascii="宋体" w:hAnsi="宋体" w:eastAsia="宋体" w:cs="宋体"/>
                <w:kern w:val="0"/>
                <w:sz w:val="24"/>
                <w:szCs w:val="24"/>
              </w:rPr>
            </w:pPr>
          </w:p>
        </w:tc>
        <w:tc>
          <w:tcPr>
            <w:tcW w:w="1358" w:type="dxa"/>
            <w:vMerge w:val="continue"/>
            <w:vAlign w:val="center"/>
          </w:tcPr>
          <w:p>
            <w:pPr>
              <w:spacing w:line="360" w:lineRule="auto"/>
              <w:jc w:val="center"/>
              <w:rPr>
                <w:rFonts w:hint="eastAsia" w:ascii="宋体" w:hAnsi="宋体" w:eastAsia="宋体" w:cs="宋体"/>
                <w:kern w:val="0"/>
                <w:sz w:val="24"/>
                <w:szCs w:val="24"/>
              </w:rPr>
            </w:pPr>
          </w:p>
        </w:tc>
        <w:tc>
          <w:tcPr>
            <w:tcW w:w="2526" w:type="dxa"/>
            <w:gridSpan w:val="2"/>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1296" w:type="dxa"/>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288" w:type="dxa"/>
            <w:gridSpan w:val="6"/>
            <w:vAlign w:val="center"/>
          </w:tcPr>
          <w:p>
            <w:pPr>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73" w:type="dxa"/>
            <w:vAlign w:val="center"/>
          </w:tcPr>
          <w:p>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288" w:type="dxa"/>
            <w:gridSpan w:val="6"/>
            <w:vAlign w:val="center"/>
          </w:tcPr>
          <w:p>
            <w:pPr>
              <w:spacing w:line="360" w:lineRule="auto"/>
              <w:jc w:val="center"/>
              <w:rPr>
                <w:rFonts w:hint="eastAsia" w:ascii="宋体" w:hAnsi="宋体" w:eastAsia="宋体" w:cs="宋体"/>
                <w:kern w:val="0"/>
                <w:sz w:val="24"/>
                <w:szCs w:val="24"/>
              </w:rPr>
            </w:pPr>
          </w:p>
        </w:tc>
      </w:tr>
    </w:tbl>
    <w:p>
      <w:pPr>
        <w:spacing w:line="360" w:lineRule="auto"/>
        <w:ind w:firstLine="6960" w:firstLineChars="2900"/>
        <w:rPr>
          <w:rFonts w:hint="eastAsia" w:ascii="宋体" w:hAnsi="宋体" w:eastAsia="宋体" w:cs="宋体"/>
          <w:sz w:val="24"/>
          <w:szCs w:val="24"/>
        </w:rPr>
      </w:pPr>
      <w:r>
        <w:rPr>
          <w:rFonts w:hint="eastAsia" w:ascii="宋体" w:hAnsi="宋体" w:eastAsia="宋体" w:cs="宋体"/>
          <w:sz w:val="24"/>
          <w:szCs w:val="24"/>
        </w:rPr>
        <w:t>（盖单位章）</w:t>
      </w:r>
    </w:p>
    <w:p>
      <w:pPr>
        <w:spacing w:line="360" w:lineRule="auto"/>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5"/>
        <w:bidi w:val="0"/>
        <w:rPr>
          <w:rFonts w:hint="eastAsia" w:ascii="宋体" w:hAnsi="宋体" w:eastAsia="宋体" w:cs="宋体"/>
          <w:b/>
          <w:bCs/>
          <w:szCs w:val="24"/>
        </w:rPr>
      </w:pPr>
      <w:r>
        <w:rPr>
          <w:rFonts w:hint="eastAsia"/>
        </w:rPr>
        <w:t>公司业绩表</w:t>
      </w:r>
    </w:p>
    <w:p>
      <w:pPr>
        <w:spacing w:line="360" w:lineRule="auto"/>
        <w:ind w:firstLine="7200" w:firstLineChars="3000"/>
        <w:rPr>
          <w:rFonts w:hint="eastAsia" w:ascii="宋体" w:hAnsi="宋体" w:eastAsia="宋体" w:cs="宋体"/>
          <w:sz w:val="24"/>
          <w:szCs w:val="24"/>
        </w:rPr>
      </w:pPr>
    </w:p>
    <w:p>
      <w:pPr>
        <w:spacing w:line="360" w:lineRule="auto"/>
        <w:ind w:firstLine="7200" w:firstLineChars="3000"/>
        <w:rPr>
          <w:rFonts w:hint="eastAsia" w:ascii="宋体" w:hAnsi="宋体" w:eastAsia="宋体" w:cs="宋体"/>
          <w:sz w:val="24"/>
          <w:szCs w:val="24"/>
        </w:rPr>
      </w:pPr>
    </w:p>
    <w:p>
      <w:pPr>
        <w:spacing w:line="360" w:lineRule="auto"/>
        <w:ind w:firstLine="7200" w:firstLineChars="3000"/>
        <w:rPr>
          <w:rFonts w:hint="eastAsia" w:ascii="宋体" w:hAnsi="宋体" w:eastAsia="宋体" w:cs="宋体"/>
          <w:sz w:val="24"/>
          <w:szCs w:val="24"/>
        </w:rPr>
      </w:pPr>
    </w:p>
    <w:p>
      <w:pPr>
        <w:spacing w:line="360" w:lineRule="auto"/>
        <w:ind w:firstLine="7200" w:firstLineChars="3000"/>
        <w:rPr>
          <w:rFonts w:hint="eastAsia" w:ascii="宋体" w:hAnsi="宋体" w:eastAsia="宋体" w:cs="宋体"/>
          <w:sz w:val="24"/>
          <w:szCs w:val="24"/>
        </w:rPr>
      </w:pPr>
    </w:p>
    <w:p>
      <w:pPr>
        <w:spacing w:line="360" w:lineRule="auto"/>
        <w:ind w:firstLine="7200" w:firstLineChars="3000"/>
        <w:rPr>
          <w:rFonts w:hint="eastAsia" w:ascii="宋体" w:hAnsi="宋体" w:eastAsia="宋体" w:cs="宋体"/>
          <w:sz w:val="24"/>
          <w:szCs w:val="24"/>
        </w:rPr>
      </w:pPr>
    </w:p>
    <w:p>
      <w:pPr>
        <w:spacing w:line="360" w:lineRule="auto"/>
        <w:ind w:firstLine="7200" w:firstLineChars="3000"/>
        <w:rPr>
          <w:rFonts w:hint="eastAsia" w:ascii="宋体" w:hAnsi="宋体" w:eastAsia="宋体" w:cs="宋体"/>
          <w:sz w:val="24"/>
          <w:szCs w:val="24"/>
        </w:rPr>
      </w:pPr>
    </w:p>
    <w:p>
      <w:pPr>
        <w:spacing w:line="360" w:lineRule="auto"/>
        <w:ind w:firstLine="7200" w:firstLineChars="3000"/>
        <w:rPr>
          <w:rFonts w:hint="eastAsia" w:ascii="宋体" w:hAnsi="宋体" w:eastAsia="宋体" w:cs="宋体"/>
          <w:sz w:val="24"/>
          <w:szCs w:val="24"/>
        </w:rPr>
      </w:pPr>
    </w:p>
    <w:p>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rPr>
        <w:t>（盖单位章）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5"/>
        <w:bidi w:val="0"/>
        <w:rPr>
          <w:rFonts w:hint="eastAsia" w:ascii="宋体" w:hAnsi="宋体" w:eastAsia="宋体" w:cs="宋体"/>
          <w:b/>
          <w:bCs/>
          <w:szCs w:val="24"/>
        </w:rPr>
      </w:pPr>
      <w:r>
        <w:rPr>
          <w:rFonts w:hint="eastAsia"/>
        </w:rPr>
        <w:t>投标报价及方案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560" w:firstLineChars="1900"/>
        <w:rPr>
          <w:rFonts w:hint="eastAsia" w:ascii="宋体" w:hAnsi="宋体" w:eastAsia="宋体" w:cs="宋体"/>
          <w:sz w:val="24"/>
          <w:szCs w:val="24"/>
        </w:rPr>
      </w:pPr>
    </w:p>
    <w:p>
      <w:pPr>
        <w:spacing w:line="360" w:lineRule="auto"/>
        <w:ind w:firstLine="4560" w:firstLineChars="1900"/>
        <w:rPr>
          <w:rFonts w:hint="eastAsia" w:ascii="宋体" w:hAnsi="宋体" w:eastAsia="宋体" w:cs="宋体"/>
          <w:sz w:val="24"/>
          <w:szCs w:val="24"/>
        </w:rPr>
      </w:pPr>
    </w:p>
    <w:p>
      <w:pPr>
        <w:spacing w:line="360" w:lineRule="auto"/>
        <w:ind w:firstLine="4560" w:firstLineChars="1900"/>
        <w:rPr>
          <w:rFonts w:hint="eastAsia" w:ascii="宋体" w:hAnsi="宋体" w:eastAsia="宋体" w:cs="宋体"/>
          <w:sz w:val="24"/>
          <w:szCs w:val="24"/>
        </w:rPr>
      </w:pPr>
    </w:p>
    <w:p>
      <w:pPr>
        <w:spacing w:line="360" w:lineRule="auto"/>
        <w:ind w:firstLine="6960" w:firstLineChars="2900"/>
        <w:rPr>
          <w:rFonts w:hint="eastAsia" w:ascii="宋体" w:hAnsi="宋体" w:eastAsia="宋体" w:cs="宋体"/>
          <w:sz w:val="24"/>
          <w:szCs w:val="24"/>
        </w:rPr>
      </w:pPr>
      <w:r>
        <w:rPr>
          <w:rFonts w:hint="eastAsia" w:ascii="宋体" w:hAnsi="宋体" w:eastAsia="宋体" w:cs="宋体"/>
          <w:sz w:val="24"/>
          <w:szCs w:val="24"/>
        </w:rPr>
        <w:t>（盖单位章）</w:t>
      </w: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pStyle w:val="5"/>
        <w:bidi w:val="0"/>
        <w:rPr>
          <w:rFonts w:hint="eastAsia" w:ascii="宋体" w:hAnsi="宋体" w:eastAsia="宋体" w:cs="宋体"/>
          <w:b/>
          <w:kern w:val="0"/>
          <w:szCs w:val="24"/>
        </w:rPr>
      </w:pPr>
      <w:r>
        <w:rPr>
          <w:rFonts w:hint="eastAsia"/>
        </w:rPr>
        <w:t>承  诺  书</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兰州佛慈制药股份有限公司：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（项目名称、招标文件编号）的要求，为杜绝商业欺诈和商业贿赂行为，我公司在此庄严承诺：</w:t>
      </w:r>
    </w:p>
    <w:p>
      <w:pPr>
        <w:spacing w:line="360" w:lineRule="auto"/>
        <w:rPr>
          <w:rFonts w:hint="eastAsia" w:ascii="宋体" w:hAnsi="宋体" w:eastAsia="宋体" w:cs="宋体"/>
          <w:sz w:val="24"/>
          <w:szCs w:val="24"/>
        </w:rPr>
      </w:pPr>
      <w:r>
        <w:rPr>
          <w:rFonts w:hint="eastAsia" w:ascii="宋体" w:hAnsi="宋体" w:eastAsia="宋体" w:cs="宋体"/>
          <w:sz w:val="24"/>
          <w:szCs w:val="24"/>
        </w:rPr>
        <w:t>1、在参与采购活动中遵纪守法、诚信经营、公平竞争。</w:t>
      </w:r>
    </w:p>
    <w:p>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2、不向招标方和采购评审进行任何形式的商业贿赂以谋取交易机会。</w:t>
      </w:r>
    </w:p>
    <w:p>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3、不向招标方提供虚假资格文件或采用虚假应标方式参与采购市场竞争并谋取中标、成交。</w:t>
      </w:r>
    </w:p>
    <w:p>
      <w:pPr>
        <w:spacing w:line="360" w:lineRule="auto"/>
        <w:rPr>
          <w:rFonts w:hint="eastAsia" w:ascii="宋体" w:hAnsi="宋体" w:eastAsia="宋体" w:cs="宋体"/>
          <w:sz w:val="24"/>
          <w:szCs w:val="24"/>
        </w:rPr>
      </w:pPr>
      <w:r>
        <w:rPr>
          <w:rFonts w:hint="eastAsia" w:ascii="宋体" w:hAnsi="宋体" w:eastAsia="宋体" w:cs="宋体"/>
          <w:sz w:val="24"/>
          <w:szCs w:val="24"/>
        </w:rPr>
        <w:t>4、我公司投标文件中所提供的货物和服务的参数都如实描述，无任何虚假情况。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5、不采取“围标、陪标”等商业欺诈手段获得采购订单。</w:t>
      </w:r>
    </w:p>
    <w:p>
      <w:pPr>
        <w:spacing w:line="360" w:lineRule="auto"/>
        <w:rPr>
          <w:rFonts w:hint="eastAsia" w:ascii="宋体" w:hAnsi="宋体" w:eastAsia="宋体" w:cs="宋体"/>
          <w:sz w:val="24"/>
          <w:szCs w:val="24"/>
        </w:rPr>
      </w:pPr>
      <w:r>
        <w:rPr>
          <w:rFonts w:hint="eastAsia" w:ascii="宋体" w:hAnsi="宋体" w:eastAsia="宋体" w:cs="宋体"/>
          <w:sz w:val="24"/>
          <w:szCs w:val="24"/>
        </w:rPr>
        <w:t>6、不采取不正当手段诋毁、排挤其他供应商。</w:t>
      </w:r>
    </w:p>
    <w:p>
      <w:pPr>
        <w:spacing w:line="360" w:lineRule="auto"/>
        <w:rPr>
          <w:rFonts w:hint="eastAsia" w:ascii="宋体" w:hAnsi="宋体" w:eastAsia="宋体" w:cs="宋体"/>
          <w:sz w:val="24"/>
          <w:szCs w:val="24"/>
        </w:rPr>
      </w:pPr>
      <w:r>
        <w:rPr>
          <w:rFonts w:hint="eastAsia" w:ascii="宋体" w:hAnsi="宋体" w:eastAsia="宋体" w:cs="宋体"/>
          <w:sz w:val="24"/>
          <w:szCs w:val="24"/>
        </w:rPr>
        <w:t>7、不在提供货物和服务时“偷梁换柱、以次充好”损害招标方的合法权益。</w:t>
      </w:r>
    </w:p>
    <w:p>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8、不与招标方和采购评审或其它供应商恶意串通，进行质疑和投诉，维护采购市场秩序。</w:t>
      </w:r>
    </w:p>
    <w:p>
      <w:pPr>
        <w:spacing w:line="360" w:lineRule="auto"/>
        <w:ind w:left="425" w:hanging="424" w:hangingChars="177"/>
        <w:rPr>
          <w:rFonts w:hint="eastAsia" w:ascii="宋体" w:hAnsi="宋体" w:eastAsia="宋体" w:cs="宋体"/>
          <w:sz w:val="24"/>
          <w:szCs w:val="24"/>
        </w:rPr>
      </w:pPr>
      <w:r>
        <w:rPr>
          <w:rFonts w:hint="eastAsia" w:ascii="宋体" w:hAnsi="宋体" w:eastAsia="宋体" w:cs="宋体"/>
          <w:sz w:val="24"/>
          <w:szCs w:val="24"/>
        </w:rPr>
        <w:t>9、项目中标后承诺不转包，一旦发现转包，招标方有权终止合同，并向电力交易中心举报；项目中标后因如未能按月完成市场化交易的，招标方可向索赔当月全部损失；</w:t>
      </w:r>
    </w:p>
    <w:p>
      <w:pPr>
        <w:spacing w:line="360" w:lineRule="auto"/>
        <w:rPr>
          <w:rFonts w:hint="eastAsia" w:ascii="宋体" w:hAnsi="宋体" w:eastAsia="宋体" w:cs="宋体"/>
          <w:sz w:val="24"/>
          <w:szCs w:val="24"/>
        </w:rPr>
      </w:pPr>
      <w:r>
        <w:rPr>
          <w:rFonts w:hint="eastAsia" w:ascii="宋体" w:hAnsi="宋体" w:eastAsia="宋体" w:cs="宋体"/>
          <w:sz w:val="24"/>
          <w:szCs w:val="24"/>
        </w:rPr>
        <w:t>10、不发生其他有悖于政府采购公平、公正和诚信原则的行为。</w:t>
      </w:r>
    </w:p>
    <w:p>
      <w:pPr>
        <w:spacing w:line="360" w:lineRule="auto"/>
        <w:ind w:left="730" w:leftChars="228" w:firstLine="480" w:firstLineChars="200"/>
        <w:rPr>
          <w:rFonts w:hint="eastAsia" w:ascii="宋体" w:hAnsi="宋体" w:eastAsia="宋体" w:cs="宋体"/>
          <w:sz w:val="24"/>
          <w:szCs w:val="24"/>
        </w:rPr>
      </w:pPr>
    </w:p>
    <w:p>
      <w:pPr>
        <w:spacing w:line="360" w:lineRule="auto"/>
        <w:ind w:left="730" w:leftChars="228"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以上承诺如有违反，自愿承担一切法律责任及后果。</w:t>
      </w:r>
    </w:p>
    <w:p>
      <w:pPr>
        <w:pStyle w:val="8"/>
        <w:adjustRightInd w:val="0"/>
        <w:snapToGrid w:val="0"/>
        <w:spacing w:before="156" w:beforeLines="50" w:line="360" w:lineRule="auto"/>
        <w:ind w:firstLine="3960" w:firstLineChars="1650"/>
        <w:rPr>
          <w:rFonts w:hint="eastAsia" w:ascii="宋体" w:hAnsi="宋体" w:eastAsia="宋体" w:cs="宋体"/>
          <w:sz w:val="24"/>
          <w:szCs w:val="24"/>
          <w:u w:val="single"/>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pPr>
        <w:adjustRightInd w:val="0"/>
        <w:snapToGrid w:val="0"/>
        <w:spacing w:before="156" w:beforeLines="50" w:line="360" w:lineRule="auto"/>
        <w:ind w:firstLine="3916" w:firstLineChars="1632"/>
        <w:rPr>
          <w:rFonts w:hint="eastAsia" w:ascii="宋体" w:hAnsi="宋体" w:eastAsia="宋体" w:cs="宋体"/>
          <w:sz w:val="24"/>
          <w:szCs w:val="24"/>
        </w:rPr>
      </w:pPr>
      <w:r>
        <w:rPr>
          <w:rFonts w:hint="eastAsia" w:ascii="宋体" w:hAnsi="宋体" w:eastAsia="宋体" w:cs="宋体"/>
          <w:sz w:val="24"/>
          <w:szCs w:val="24"/>
        </w:rPr>
        <w:t>法定代表人或其授权的代理人(签字)：</w:t>
      </w:r>
      <w:r>
        <w:rPr>
          <w:rFonts w:hint="eastAsia" w:ascii="宋体" w:hAnsi="宋体" w:eastAsia="宋体" w:cs="宋体"/>
          <w:sz w:val="24"/>
          <w:szCs w:val="24"/>
          <w:u w:val="single"/>
        </w:rPr>
        <w:t xml:space="preserve">                  </w:t>
      </w:r>
    </w:p>
    <w:p>
      <w:pPr>
        <w:adjustRightInd w:val="0"/>
        <w:snapToGrid w:val="0"/>
        <w:spacing w:before="156" w:beforeLines="50" w:line="360" w:lineRule="auto"/>
        <w:ind w:firstLine="3916" w:firstLineChars="1632"/>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napToGrid w:val="0"/>
        <w:spacing w:before="156" w:beforeLines="50" w:line="360" w:lineRule="auto"/>
        <w:ind w:left="-134" w:leftChars="-42" w:firstLine="200"/>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：对本投标承诺书的任何修改将被视为非实质性响应投标，在评标时将其视为无效投标。</w:t>
      </w:r>
    </w:p>
    <w:p>
      <w:pPr>
        <w:pStyle w:val="5"/>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bidi w:val="0"/>
        <w:rPr>
          <w:rFonts w:hint="default"/>
          <w:lang w:val="en-US" w:eastAsia="zh-CN"/>
        </w:rPr>
      </w:pPr>
      <w:r>
        <w:rPr>
          <w:rFonts w:hint="eastAsia"/>
          <w:lang w:val="en-US" w:eastAsia="zh-CN"/>
        </w:rPr>
        <w:t>附件</w:t>
      </w:r>
    </w:p>
    <w:p>
      <w:pPr>
        <w:pStyle w:val="5"/>
        <w:bidi w:val="0"/>
        <w:rPr>
          <w:rFonts w:hint="eastAsia"/>
          <w:lang w:val="en-US" w:eastAsia="zh-CN"/>
        </w:rPr>
      </w:pPr>
      <w:r>
        <w:rPr>
          <w:rFonts w:hint="eastAsia"/>
          <w:lang w:val="en-US" w:eastAsia="zh-CN"/>
        </w:rPr>
        <w:t xml:space="preserve"> 2025年环境检测方案</w:t>
      </w:r>
    </w:p>
    <w:tbl>
      <w:tblPr>
        <w:tblStyle w:val="15"/>
        <w:tblW w:w="13960" w:type="dxa"/>
        <w:jc w:val="center"/>
        <w:tblInd w:w="0" w:type="dxa"/>
        <w:shd w:val="clear" w:color="auto" w:fill="auto"/>
        <w:tblLayout w:type="fixed"/>
        <w:tblCellMar>
          <w:top w:w="0" w:type="dxa"/>
          <w:left w:w="0" w:type="dxa"/>
          <w:bottom w:w="0" w:type="dxa"/>
          <w:right w:w="0" w:type="dxa"/>
        </w:tblCellMar>
      </w:tblPr>
      <w:tblGrid>
        <w:gridCol w:w="967"/>
        <w:gridCol w:w="620"/>
        <w:gridCol w:w="2012"/>
        <w:gridCol w:w="901"/>
        <w:gridCol w:w="1133"/>
        <w:gridCol w:w="912"/>
        <w:gridCol w:w="1084"/>
        <w:gridCol w:w="1023"/>
        <w:gridCol w:w="948"/>
        <w:gridCol w:w="1160"/>
        <w:gridCol w:w="3200"/>
      </w:tblGrid>
      <w:tr>
        <w:tblPrEx>
          <w:tblLayout w:type="fixed"/>
          <w:tblCellMar>
            <w:top w:w="0" w:type="dxa"/>
            <w:left w:w="0" w:type="dxa"/>
            <w:bottom w:w="0" w:type="dxa"/>
            <w:right w:w="0" w:type="dxa"/>
          </w:tblCellMar>
        </w:tblPrEx>
        <w:trPr>
          <w:trHeight w:val="452"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企业名称</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类别</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排口名称</w:t>
            </w:r>
          </w:p>
        </w:tc>
        <w:tc>
          <w:tcPr>
            <w:tcW w:w="9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监测点位</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监测项目</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监测方式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依据类型</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监测频次</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监测限值</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限值单位</w:t>
            </w:r>
          </w:p>
        </w:tc>
        <w:tc>
          <w:tcPr>
            <w:tcW w:w="3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4"/>
              <w:bidi w:val="0"/>
              <w:jc w:val="center"/>
              <w:rPr>
                <w:rFonts w:hint="eastAsia"/>
              </w:rPr>
            </w:pPr>
            <w:r>
              <w:rPr>
                <w:rFonts w:hint="eastAsia"/>
                <w:lang w:val="en-US" w:eastAsia="zh-CN"/>
              </w:rPr>
              <w:t>监测方法</w:t>
            </w:r>
          </w:p>
        </w:tc>
      </w:tr>
      <w:tr>
        <w:tblPrEx>
          <w:tblLayout w:type="fixed"/>
          <w:tblCellMar>
            <w:top w:w="0" w:type="dxa"/>
            <w:left w:w="0" w:type="dxa"/>
            <w:bottom w:w="0" w:type="dxa"/>
            <w:right w:w="0" w:type="dxa"/>
          </w:tblCellMar>
        </w:tblPrEx>
        <w:trPr>
          <w:trHeight w:val="1070" w:hRule="atLeast"/>
          <w:jc w:val="center"/>
        </w:trPr>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兰州佛慈制药股份有限公司</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废气有组织排放</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排气筒001(DA001)</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动力车间1#排气筒001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二氧化硫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固定污染源排气中二氧化硫的测定 定电位电解法 HJ/T 57-2000</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动力车间1#排气筒001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林格曼黑度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固定污染源排放烟气黑度的测定 林格曼烟气黑度图法HJ/T 398-2007</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动力车间1#排气筒001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烟尘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固定污染源排气中颗粒物测定与气态污染物采样方法GB/T 16157</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排气筒017(DA028)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前处理车间2#排气筒017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臭气浓度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无量纲</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前处理车间2#排气筒017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排气筒018(DA029)</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前处理车间3#排气筒018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臭气浓度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无量纲</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452"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前处理车间3#排气筒018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排气筒002(DA002)</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动力车间2#排气筒002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氮氧化物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固定污染源废气 氮氧化物的测定 定电位电解法HJ 693-2014</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动力车间2#排气筒002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二氧化硫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固定污染源排气中二氧化硫的测定 定电位电解法 HJ/T 57-2000</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动力车间2#排气筒002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林格曼黑度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固定污染源排放烟气黑度的测定 林格曼烟气黑度图法HJ/T 398-2007</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动力车间2#排气筒002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烟尘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固定污染源排气中颗粒物测定与气态污染物采样方法GB/T 16157</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排气筒029(DA004)</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包材车间1#排气筒029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非甲烷总烃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固定污染源排气中非甲烷总烃的测定 气相色谱法HJ/T 38-1999</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排气筒023(DA009)</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综合制剂一5#排气筒023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排气筒010(DA016)</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综合制剂二2#排气筒010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排气筒009(DA015)</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综合制剂二1#排气筒009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排气筒027(DA013)</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综合制剂一9#排气筒027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排气筒015(DA021)</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综合制剂二7#排气筒015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排气筒019(DA005)</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综合制剂一1#排气筒019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排气筒022(DA008)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综合制剂一4#排气筒022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排气筒028(DA014)</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综合制剂一10#排气筒028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排气筒014(DA020)</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综合制剂二6#排气筒014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排气筒004(DA022)</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综合制剂二8#排气筒004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排气筒003(DA003)</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前处理单元1#排气筒003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臭气浓度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空气质量 恶臭的测定 三点比较式臭袋法 GB T 14675-1993</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前处理单元1#排气筒003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排气筒013(DA019)</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综合制剂二5#排气筒013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排气筒006(DA024)</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综合制剂二10#排气筒006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排气筒016(DA027)</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包材车间2#排气筒016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非甲烷总烃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固定污染源排气中非甲烷总烃的测定 气相色谱法HJ/T 38-1999</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排气筒020(DA006)</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综合制剂一2#排气筒020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642"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排气筒007(DA025)</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综合制剂二11#排气筒007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排气筒005(DA023)</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综合制剂二9#排气筒005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排气筒008(DA026)</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综合制剂二12#排气筒008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排气筒021(DA007)</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综合制剂一3#排气筒021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排气筒024(DA010)</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综合制剂一6#排气筒024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排气筒025(DA011)</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综合制剂一7#025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排气筒011(DA017)</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综合制剂二3#排气筒011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排气筒012(DA018)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综合制剂二4#排气筒012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排气筒026(DA012)</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综合制剂一8#排气筒026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排气筒（DA030)</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提取喷雾干燥废气排气筒</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排气筒（DA031)</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污水处理站废气排放口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臭气浓度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非甲烷总烃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硫化氢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排气筒（DA032)</w:t>
            </w:r>
          </w:p>
        </w:tc>
        <w:tc>
          <w:tcPr>
            <w:tcW w:w="9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间接加热炉排气筒</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氮氧化物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二氧化硫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林格曼黑度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452"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排气筒（DA033)</w:t>
            </w:r>
          </w:p>
        </w:tc>
        <w:tc>
          <w:tcPr>
            <w:tcW w:w="9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热机车间1#排气筒</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氮氧化物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二氧化硫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林格曼黑度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排气筒（DA034)</w:t>
            </w:r>
          </w:p>
        </w:tc>
        <w:tc>
          <w:tcPr>
            <w:tcW w:w="9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热机车间2#排气筒</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氮氧化物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1次/1月</w:t>
            </w:r>
          </w:p>
        </w:tc>
        <w:tc>
          <w:tcPr>
            <w:tcW w:w="948" w:type="dxa"/>
            <w:tcBorders>
              <w:top w:val="nil"/>
              <w:left w:val="nil"/>
              <w:bottom w:val="nil"/>
              <w:right w:val="nil"/>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二氧化硫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nil"/>
              <w:left w:val="nil"/>
              <w:bottom w:val="nil"/>
              <w:right w:val="nil"/>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林格曼黑度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1次/1年</w:t>
            </w:r>
          </w:p>
        </w:tc>
        <w:tc>
          <w:tcPr>
            <w:tcW w:w="948" w:type="dxa"/>
            <w:tcBorders>
              <w:top w:val="nil"/>
              <w:left w:val="nil"/>
              <w:bottom w:val="nil"/>
              <w:right w:val="nil"/>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2024-01-01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nil"/>
              <w:left w:val="nil"/>
              <w:bottom w:val="nil"/>
              <w:right w:val="nil"/>
            </w:tcBorders>
            <w:shd w:val="clear" w:color="auto" w:fill="auto"/>
            <w:tcMar>
              <w:top w:w="15" w:type="dxa"/>
              <w:left w:w="15" w:type="dxa"/>
              <w:right w:w="15" w:type="dxa"/>
            </w:tcMar>
            <w:vAlign w:val="center"/>
          </w:tcPr>
          <w:p>
            <w:pPr>
              <w:pStyle w:val="4"/>
              <w:bidi w:val="0"/>
              <w:jc w:val="center"/>
            </w:pPr>
            <w:r>
              <w:rPr>
                <w:rFonts w:hint="default"/>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固定污染源排气中颗粒物测定与气态污染物采样方法 GB/T 16157-1996</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废水排放</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废水排口001(DW001)</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动植物油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石油类和动植物油类的测定 红外分光光度法HJ 637-2012代替GB/T 16488-1996</w:t>
            </w:r>
          </w:p>
        </w:tc>
      </w:tr>
      <w:tr>
        <w:tblPrEx>
          <w:shd w:val="clear" w:color="auto" w:fill="auto"/>
          <w:tblLayout w:type="fixed"/>
          <w:tblCellMar>
            <w:top w:w="0" w:type="dxa"/>
            <w:left w:w="0" w:type="dxa"/>
            <w:bottom w:w="0" w:type="dxa"/>
            <w:right w:w="0" w:type="dxa"/>
          </w:tblCellMar>
        </w:tblPrEx>
        <w:trPr>
          <w:trHeight w:val="1378"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急性毒性（HgCl2毒性当量）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0.07</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色度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色度的测定GB 11903-89</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五日生化需氧量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五日生化需氧量（BOD5）的测定 稀释与接种法 HJ505-2009</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悬浮物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悬浮物的测定 重量法 GB 11901-1989</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总氮（以N计）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总氮的测定 流动注射-盐酸萘乙二胺分光光度法HJ 668-2013</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总汞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0.05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总汞的测定 冷原子吸收分光光度法HJ 597-2011 代替GB 7468-87</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总磷（以P计）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0.5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总磷的测定 流动注射-钼酸铵分光光度法HJ 671-2013</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总氰化物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0.5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氰化物的测定 流动注射-分光光度法(HJ823-2017)</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总砷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0.5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总砷的测定 二乙基二硫代氨基甲酸银分光光度法GB 7485-87</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总有机碳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总有机碳的测定 燃烧氧化-非分散红外吸收法HJ/T71-2001</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pH值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在线监测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1次/2小时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6-9</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无量纲</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pH值的测定 玻璃电极法 GB 6920-1986</w:t>
            </w:r>
          </w:p>
        </w:tc>
      </w:tr>
      <w:tr>
        <w:tblPrEx>
          <w:tblLayout w:type="fixed"/>
          <w:tblCellMar>
            <w:top w:w="0" w:type="dxa"/>
            <w:left w:w="0" w:type="dxa"/>
            <w:bottom w:w="0" w:type="dxa"/>
            <w:right w:w="0" w:type="dxa"/>
          </w:tblCellMar>
        </w:tblPrEx>
        <w:trPr>
          <w:trHeight w:val="323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氨氮（NH3-N）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在线监测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1次/2小时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tblPrEx>
          <w:shd w:val="clear" w:color="auto" w:fill="auto"/>
          <w:tblLayout w:type="fixed"/>
          <w:tblCellMar>
            <w:top w:w="0" w:type="dxa"/>
            <w:left w:w="0" w:type="dxa"/>
            <w:bottom w:w="0" w:type="dxa"/>
            <w:right w:w="0" w:type="dxa"/>
          </w:tblCellMar>
        </w:tblPrEx>
        <w:trPr>
          <w:trHeight w:val="2304"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厂区总排放口001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化学需氧量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在线监测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1次/2小时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化学需氧量的测定 快速消解分光光度法 HJ/T 399-2007,水质 化学需氧量的测定 重铬酸盐法 HJ 828-2017,高氯废水 化学需氧量的测定 碘化钾碱性高锰酸钾法HJ/T 132-2003,高氯废水 化学需氧量的测定 氯气校正法HJ/T 70-2001</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雨水排放（一年2次）</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YS001(DW003)</w:t>
            </w:r>
          </w:p>
        </w:tc>
        <w:tc>
          <w:tcPr>
            <w:tcW w:w="9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雨水排放口1#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pH值</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pH值的测定 玻璃电极法 GB 6920-1986</w:t>
            </w:r>
          </w:p>
        </w:tc>
      </w:tr>
      <w:tr>
        <w:tblPrEx>
          <w:shd w:val="clear" w:color="auto" w:fill="auto"/>
          <w:tblLayout w:type="fixed"/>
          <w:tblCellMar>
            <w:top w:w="0" w:type="dxa"/>
            <w:left w:w="0" w:type="dxa"/>
            <w:bottom w:w="0" w:type="dxa"/>
            <w:right w:w="0" w:type="dxa"/>
          </w:tblCellMar>
        </w:tblPrEx>
        <w:trPr>
          <w:trHeight w:val="323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氨氮（NH3-N）</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tblPrEx>
          <w:tblLayout w:type="fixed"/>
          <w:tblCellMar>
            <w:top w:w="0" w:type="dxa"/>
            <w:left w:w="0" w:type="dxa"/>
            <w:bottom w:w="0" w:type="dxa"/>
            <w:right w:w="0" w:type="dxa"/>
          </w:tblCellMar>
        </w:tblPrEx>
        <w:trPr>
          <w:trHeight w:val="2304"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化学需氧量</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化学需氧量的测定 快速消解分光光度法 HJ/T 399-2007,水质 化学需氧量的测定 重铬酸盐法 HJ 828-2017,高氯废水 化学需氧量的测定 碘化钾碱性高锰酸钾法HJ/T 132-2003,高氯废水 化学需氧量的测定 氯气校正法HJ/T 70-2001</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YS002(DW004)</w:t>
            </w:r>
          </w:p>
        </w:tc>
        <w:tc>
          <w:tcPr>
            <w:tcW w:w="9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雨水排放口2#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pH值</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pH值的测定 玻璃电极法 GB 6920-1986</w:t>
            </w:r>
          </w:p>
        </w:tc>
      </w:tr>
      <w:tr>
        <w:tblPrEx>
          <w:shd w:val="clear" w:color="auto" w:fill="auto"/>
          <w:tblLayout w:type="fixed"/>
          <w:tblCellMar>
            <w:top w:w="0" w:type="dxa"/>
            <w:left w:w="0" w:type="dxa"/>
            <w:bottom w:w="0" w:type="dxa"/>
            <w:right w:w="0" w:type="dxa"/>
          </w:tblCellMar>
        </w:tblPrEx>
        <w:trPr>
          <w:trHeight w:val="95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氨氮（NH3-N)</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tblPrEx>
          <w:shd w:val="clear" w:color="auto" w:fill="auto"/>
          <w:tblLayout w:type="fixed"/>
          <w:tblCellMar>
            <w:top w:w="0" w:type="dxa"/>
            <w:left w:w="0" w:type="dxa"/>
            <w:bottom w:w="0" w:type="dxa"/>
            <w:right w:w="0" w:type="dxa"/>
          </w:tblCellMar>
        </w:tblPrEx>
        <w:trPr>
          <w:trHeight w:val="2304"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化学需氧量</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化学需氧量的测定 快速消解分光光度法 HJ/T 399-2007,水质 化学需氧量的测定 重铬酸盐法 HJ 828-2017,高氯废水 化学需氧量的测定 碘化钾碱性高锰酸钾法HJ/T 132-2003,高氯废水 化学需氧量的测定 氯气校正法HJ/T 70-2001</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YS003(DW005)</w:t>
            </w:r>
          </w:p>
        </w:tc>
        <w:tc>
          <w:tcPr>
            <w:tcW w:w="9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雨水排放口2#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pH值</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pH值的测定 玻璃电极法 GB 6920-1986</w:t>
            </w:r>
          </w:p>
        </w:tc>
      </w:tr>
      <w:tr>
        <w:tblPrEx>
          <w:tblLayout w:type="fixed"/>
          <w:tblCellMar>
            <w:top w:w="0" w:type="dxa"/>
            <w:left w:w="0" w:type="dxa"/>
            <w:bottom w:w="0" w:type="dxa"/>
            <w:right w:w="0" w:type="dxa"/>
          </w:tblCellMar>
        </w:tblPrEx>
        <w:trPr>
          <w:trHeight w:val="2802"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氨氮（NH3-N）</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tblPrEx>
          <w:shd w:val="clear" w:color="auto" w:fill="auto"/>
          <w:tblLayout w:type="fixed"/>
          <w:tblCellMar>
            <w:top w:w="0" w:type="dxa"/>
            <w:left w:w="0" w:type="dxa"/>
            <w:bottom w:w="0" w:type="dxa"/>
            <w:right w:w="0" w:type="dxa"/>
          </w:tblCellMar>
        </w:tblPrEx>
        <w:trPr>
          <w:trHeight w:val="2304"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化学需氧量</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化学需氧量的测定 快速消解分光光度法 HJ/T 399-2007,水质 化学需氧量的测定 重铬酸盐法 HJ 828-2017,高氯废水 化学需氧量的测定 碘化钾碱性高锰酸钾法HJ/T 132-2003,高氯废水 化学需氧量的测定 氯气校正法HJ/T 70-2001</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YS004(DW006)</w:t>
            </w:r>
          </w:p>
        </w:tc>
        <w:tc>
          <w:tcPr>
            <w:tcW w:w="9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雨水排放口4#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pH值</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pH值的测定 玻璃电极法 GB 6920-1986</w:t>
            </w:r>
          </w:p>
        </w:tc>
      </w:tr>
      <w:tr>
        <w:tblPrEx>
          <w:shd w:val="clear" w:color="auto" w:fill="auto"/>
          <w:tblLayout w:type="fixed"/>
          <w:tblCellMar>
            <w:top w:w="0" w:type="dxa"/>
            <w:left w:w="0" w:type="dxa"/>
            <w:bottom w:w="0" w:type="dxa"/>
            <w:right w:w="0" w:type="dxa"/>
          </w:tblCellMar>
        </w:tblPrEx>
        <w:trPr>
          <w:trHeight w:val="323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氨氮（NH3-N）</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tblPrEx>
          <w:shd w:val="clear" w:color="auto" w:fill="auto"/>
          <w:tblLayout w:type="fixed"/>
          <w:tblCellMar>
            <w:top w:w="0" w:type="dxa"/>
            <w:left w:w="0" w:type="dxa"/>
            <w:bottom w:w="0" w:type="dxa"/>
            <w:right w:w="0" w:type="dxa"/>
          </w:tblCellMar>
        </w:tblPrEx>
        <w:trPr>
          <w:trHeight w:val="126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化学需氧量</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化学需氧量的测定 快速消解分光光度法 HJ/T 399-2007,水质 化学需氧量的测定 重铬酸盐法 HJ 828-2017,高氯废水 化学需氧量的测定 碘化钾碱性高锰酸钾法HJ/T 132-2003,高氯废水 化学需氧量的测定 氯气校正法HJ/T 70-2001</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YS005(DW007)</w:t>
            </w:r>
          </w:p>
        </w:tc>
        <w:tc>
          <w:tcPr>
            <w:tcW w:w="9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雨水排放口5#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pH值</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pH值的测定 玻璃电极法 GB 6920-1986</w:t>
            </w:r>
          </w:p>
        </w:tc>
      </w:tr>
      <w:tr>
        <w:tblPrEx>
          <w:shd w:val="clear" w:color="auto" w:fill="auto"/>
          <w:tblLayout w:type="fixed"/>
          <w:tblCellMar>
            <w:top w:w="0" w:type="dxa"/>
            <w:left w:w="0" w:type="dxa"/>
            <w:bottom w:w="0" w:type="dxa"/>
            <w:right w:w="0" w:type="dxa"/>
          </w:tblCellMar>
        </w:tblPrEx>
        <w:trPr>
          <w:trHeight w:val="323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氨氮（NH3-N）</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tblPrEx>
          <w:shd w:val="clear" w:color="auto" w:fill="auto"/>
          <w:tblLayout w:type="fixed"/>
          <w:tblCellMar>
            <w:top w:w="0" w:type="dxa"/>
            <w:left w:w="0" w:type="dxa"/>
            <w:bottom w:w="0" w:type="dxa"/>
            <w:right w:w="0" w:type="dxa"/>
          </w:tblCellMar>
        </w:tblPrEx>
        <w:trPr>
          <w:trHeight w:val="2304"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化学需氧量</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mg/L</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水质 化学需氧量的测定 快速消解分光光度法 HJ/T 399-2007,水质 化学需氧量的测定 重铬酸盐法 HJ 828-2017,高氯废水 化学需氧量的测定 碘化钾碱性高锰酸钾法HJ/T 132-2003,高氯废水 化学需氧量的测定 氯气校正法HJ/T 70-2001</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废气无组织排放</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氨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臭气浓度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空气质量 恶臭的测定 三点比较式臭袋法GB/T14675</w:t>
            </w: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非甲烷总烃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环境空气和废气 总烃、甲烷和非甲烷总烃便携式检测仪器技术要求和检测方法HJ1012</w:t>
            </w:r>
          </w:p>
        </w:tc>
      </w:tr>
      <w:tr>
        <w:tblPrEx>
          <w:shd w:val="clear" w:color="auto" w:fill="auto"/>
          <w:tblLayout w:type="fixed"/>
          <w:tblCellMar>
            <w:top w:w="0" w:type="dxa"/>
            <w:left w:w="0" w:type="dxa"/>
            <w:bottom w:w="0" w:type="dxa"/>
            <w:right w:w="0" w:type="dxa"/>
          </w:tblCellMar>
        </w:tblPrEx>
        <w:trPr>
          <w:trHeight w:val="76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颗粒物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硫化氢 2021-01-01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1次/1半年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0.06</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mg/Nm3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空气质量 硫化氢 甲硫醇 甲硫醚 二甲二硫的测定气相色谱法 GB/T14678-1993</w:t>
            </w: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厂界噪声排放</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工业企业厂界环境噪声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dB</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工业企业厂界环境噪声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dB</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tblLayout w:type="fixed"/>
          <w:tblCellMar>
            <w:top w:w="0" w:type="dxa"/>
            <w:left w:w="0" w:type="dxa"/>
            <w:bottom w:w="0" w:type="dxa"/>
            <w:right w:w="0" w:type="dxa"/>
          </w:tblCellMar>
        </w:tblPrEx>
        <w:trPr>
          <w:trHeight w:val="107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工业企业厂界环境噪声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dB</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r>
        <w:tblPrEx>
          <w:shd w:val="clear" w:color="auto" w:fill="auto"/>
          <w:tblLayout w:type="fixed"/>
          <w:tblCellMar>
            <w:top w:w="0" w:type="dxa"/>
            <w:left w:w="0" w:type="dxa"/>
            <w:bottom w:w="0" w:type="dxa"/>
            <w:right w:w="0" w:type="dxa"/>
          </w:tblCellMar>
        </w:tblPrEx>
        <w:trPr>
          <w:trHeight w:val="108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厂界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工业企业厂界环境噪声 2023-01-01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手工监测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排污许可证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1次/1季度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60；50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r>
              <w:rPr>
                <w:rFonts w:hint="eastAsia"/>
                <w:lang w:val="en-US" w:eastAsia="zh-CN"/>
              </w:rPr>
              <w:t>dB</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bidi w:val="0"/>
              <w:jc w:val="center"/>
              <w:rPr>
                <w:rFonts w:hint="eastAsia"/>
              </w:rPr>
            </w:pPr>
          </w:p>
        </w:tc>
      </w:tr>
    </w:tbl>
    <w:p>
      <w:pPr>
        <w:bidi w:val="0"/>
        <w:ind w:left="0" w:leftChars="0" w:firstLine="0" w:firstLineChars="0"/>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MWQwMDM1NDAzOGUzMTg0MDEwZGQ1ZWU0ODUyYmMifQ=="/>
  </w:docVars>
  <w:rsids>
    <w:rsidRoot w:val="0015225D"/>
    <w:rsid w:val="000955A4"/>
    <w:rsid w:val="0015225D"/>
    <w:rsid w:val="00477E0C"/>
    <w:rsid w:val="00940CCF"/>
    <w:rsid w:val="00952586"/>
    <w:rsid w:val="00C97508"/>
    <w:rsid w:val="00F86C19"/>
    <w:rsid w:val="02CF7B3F"/>
    <w:rsid w:val="0394658D"/>
    <w:rsid w:val="06040C1A"/>
    <w:rsid w:val="08FF108B"/>
    <w:rsid w:val="092362C0"/>
    <w:rsid w:val="0CAE43B6"/>
    <w:rsid w:val="18672022"/>
    <w:rsid w:val="1E1C7453"/>
    <w:rsid w:val="1F026D47"/>
    <w:rsid w:val="1FEE02CE"/>
    <w:rsid w:val="26415B8D"/>
    <w:rsid w:val="27C43035"/>
    <w:rsid w:val="27D646C7"/>
    <w:rsid w:val="2AAF0468"/>
    <w:rsid w:val="2C6145F0"/>
    <w:rsid w:val="32AB21B4"/>
    <w:rsid w:val="33CA61C1"/>
    <w:rsid w:val="367E2601"/>
    <w:rsid w:val="38BC03FA"/>
    <w:rsid w:val="3CB35B1E"/>
    <w:rsid w:val="3FEC4338"/>
    <w:rsid w:val="45254714"/>
    <w:rsid w:val="45FB52AC"/>
    <w:rsid w:val="46E4575A"/>
    <w:rsid w:val="4735777E"/>
    <w:rsid w:val="4BBE54F6"/>
    <w:rsid w:val="4DA24102"/>
    <w:rsid w:val="527D3137"/>
    <w:rsid w:val="55684751"/>
    <w:rsid w:val="59D47A01"/>
    <w:rsid w:val="5BE05C49"/>
    <w:rsid w:val="5D082985"/>
    <w:rsid w:val="66510F1C"/>
    <w:rsid w:val="66C0684B"/>
    <w:rsid w:val="6A763739"/>
    <w:rsid w:val="6D621C30"/>
    <w:rsid w:val="6EB86147"/>
    <w:rsid w:val="710C45A5"/>
    <w:rsid w:val="757B59E4"/>
    <w:rsid w:val="7723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5">
    <w:name w:val="heading 1"/>
    <w:basedOn w:val="1"/>
    <w:next w:val="1"/>
    <w:link w:val="17"/>
    <w:qFormat/>
    <w:uiPriority w:val="9"/>
    <w:pPr>
      <w:widowControl/>
      <w:spacing w:beforeAutospacing="1" w:afterAutospacing="1" w:line="600" w:lineRule="exact"/>
      <w:ind w:firstLine="0" w:firstLineChars="0"/>
      <w:jc w:val="center"/>
      <w:outlineLvl w:val="0"/>
    </w:pPr>
    <w:rPr>
      <w:rFonts w:eastAsia="方正小标宋简体" w:cs="Times New Roman"/>
      <w:kern w:val="36"/>
      <w:sz w:val="44"/>
      <w:szCs w:val="44"/>
    </w:rPr>
  </w:style>
  <w:style w:type="paragraph" w:styleId="6">
    <w:name w:val="heading 2"/>
    <w:basedOn w:val="1"/>
    <w:next w:val="1"/>
    <w:link w:val="23"/>
    <w:unhideWhenUsed/>
    <w:qFormat/>
    <w:uiPriority w:val="0"/>
    <w:pPr>
      <w:keepNext/>
      <w:keepLines/>
      <w:spacing w:line="560" w:lineRule="exact"/>
      <w:ind w:firstLine="880" w:firstLineChars="200"/>
      <w:jc w:val="both"/>
      <w:outlineLvl w:val="1"/>
    </w:pPr>
    <w:rPr>
      <w:rFonts w:eastAsia="黑体"/>
      <w:color w:val="000000" w:themeColor="text1"/>
      <w:u w:val="single" w:color="FFFFFF" w:themeColor="background1"/>
      <w14:textFill>
        <w14:solidFill>
          <w14:schemeClr w14:val="tx1"/>
        </w14:solidFill>
      </w14:textFill>
    </w:rPr>
  </w:style>
  <w:style w:type="paragraph" w:styleId="7">
    <w:name w:val="heading 3"/>
    <w:basedOn w:val="1"/>
    <w:next w:val="1"/>
    <w:link w:val="22"/>
    <w:unhideWhenUsed/>
    <w:qFormat/>
    <w:uiPriority w:val="9"/>
    <w:pPr>
      <w:keepNext/>
      <w:keepLines/>
      <w:spacing w:line="560" w:lineRule="exact"/>
      <w:ind w:firstLine="883" w:firstLineChars="200"/>
      <w:jc w:val="both"/>
      <w:outlineLvl w:val="2"/>
    </w:pPr>
    <w:rPr>
      <w:rFonts w:eastAsia="楷体_GB231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afterLines="0" w:afterAutospacing="0" w:line="240" w:lineRule="atLeast"/>
      <w:ind w:left="0" w:leftChars="0" w:firstLine="0" w:firstLineChars="0"/>
    </w:pPr>
    <w:rPr>
      <w:rFonts w:ascii="Times New Roman" w:hAnsi="Times New Roman"/>
      <w:sz w:val="21"/>
    </w:rPr>
  </w:style>
  <w:style w:type="paragraph" w:styleId="8">
    <w:name w:val="Plain Text"/>
    <w:basedOn w:val="1"/>
    <w:qFormat/>
    <w:uiPriority w:val="0"/>
    <w:rPr>
      <w:rFonts w:ascii="宋体"/>
      <w:szCs w:val="20"/>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rPr>
  </w:style>
  <w:style w:type="character" w:styleId="14">
    <w:name w:val="Hyperlink"/>
    <w:basedOn w:val="12"/>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1 Char"/>
    <w:basedOn w:val="12"/>
    <w:link w:val="5"/>
    <w:qFormat/>
    <w:uiPriority w:val="9"/>
    <w:rPr>
      <w:rFonts w:ascii="Times New Roman" w:hAnsi="Times New Roman" w:eastAsia="方正小标宋简体" w:cs="Times New Roman"/>
      <w:kern w:val="36"/>
      <w:sz w:val="44"/>
      <w:szCs w:val="44"/>
    </w:rPr>
  </w:style>
  <w:style w:type="character" w:customStyle="1" w:styleId="18">
    <w:name w:val="标题 2 Char"/>
    <w:basedOn w:val="12"/>
    <w:link w:val="6"/>
    <w:qFormat/>
    <w:uiPriority w:val="0"/>
    <w:rPr>
      <w:rFonts w:ascii="Times New Roman" w:hAnsi="Times New Roman" w:eastAsia="黑体" w:cs="Times New Roman"/>
      <w:kern w:val="2"/>
      <w:sz w:val="32"/>
      <w:szCs w:val="32"/>
    </w:rPr>
  </w:style>
  <w:style w:type="character" w:customStyle="1" w:styleId="19">
    <w:name w:val="页眉 Char"/>
    <w:basedOn w:val="12"/>
    <w:link w:val="10"/>
    <w:semiHidden/>
    <w:qFormat/>
    <w:uiPriority w:val="99"/>
    <w:rPr>
      <w:sz w:val="18"/>
      <w:szCs w:val="18"/>
    </w:rPr>
  </w:style>
  <w:style w:type="character" w:customStyle="1" w:styleId="20">
    <w:name w:val="页脚 Char"/>
    <w:basedOn w:val="12"/>
    <w:link w:val="9"/>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3 Char1"/>
    <w:link w:val="7"/>
    <w:qFormat/>
    <w:uiPriority w:val="0"/>
    <w:rPr>
      <w:rFonts w:eastAsia="楷体_GB2312"/>
    </w:rPr>
  </w:style>
  <w:style w:type="character" w:customStyle="1" w:styleId="23">
    <w:name w:val="标题 2 Char1"/>
    <w:link w:val="6"/>
    <w:qFormat/>
    <w:uiPriority w:val="0"/>
    <w:rPr>
      <w:rFonts w:eastAsia="黑体"/>
      <w:color w:val="000000" w:themeColor="text1"/>
      <w:u w:val="single" w:color="FFFFFF" w:themeColor="background1"/>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4085</Words>
  <Characters>4464</Characters>
  <Lines>1</Lines>
  <Paragraphs>1</Paragraphs>
  <TotalTime>86</TotalTime>
  <ScaleCrop>false</ScaleCrop>
  <LinksUpToDate>false</LinksUpToDate>
  <CharactersWithSpaces>4826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2022-10-17T00:48:00Z</dcterms:created>
  <dc:creator>hp</dc:creator>
  <cp:lastModifiedBy>hp</cp:lastModifiedBy>
  <dcterms:modified xsi:type="dcterms:W3CDTF">2025-06-30T07:35:36Z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81A86415A5D948D29FE1039C6357323C_13</vt:lpwstr>
  </property>
  <property fmtid="{D5CDD505-2E9C-101B-9397-08002B2CF9AE}" pid="4" name="KSOTemplateDocerSaveRecord">
    <vt:lpwstr>eyJoZGlkIjoiZTUzMzdiZTRkMDZhZmMwMzQ4MWU3YzgyNmY1YmJiZGMiLCJ1c2VySWQiOiIyNjk1NjYwNDUifQ==</vt:lpwstr>
  </property>
</Properties>
</file>